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32"/>
          <w:szCs w:val="32"/>
        </w:rPr>
        <w:t>信息安全等保测评评分标准</w:t>
      </w:r>
    </w:p>
    <w:tbl>
      <w:tblPr>
        <w:tblStyle w:val="13"/>
        <w:tblW w:w="8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559"/>
        <w:gridCol w:w="5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评审内容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分值标准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报价</w:t>
            </w:r>
          </w:p>
          <w:p>
            <w:pPr>
              <w:jc w:val="center"/>
            </w:pPr>
            <w:r>
              <w:rPr>
                <w:rFonts w:hint="eastAsia"/>
              </w:rPr>
              <w:t>（共2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0分）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报价得分＝（基准价／最后报价）×20</w:t>
            </w:r>
          </w:p>
          <w:p>
            <w:r>
              <w:rPr>
                <w:rFonts w:hint="eastAsia"/>
              </w:rPr>
              <w:t>注：基准价为满足招标文件要求且报价最低的供应商的价格。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商务部分</w:t>
            </w:r>
          </w:p>
          <w:p>
            <w:pPr>
              <w:jc w:val="center"/>
            </w:pPr>
            <w:r>
              <w:rPr>
                <w:rFonts w:hint="eastAsia"/>
              </w:rPr>
              <w:t>（共</w:t>
            </w:r>
            <w:r>
              <w:t>25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企业综合实力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.企业具备ISO9001质量管理体系认证证书的，得</w:t>
            </w:r>
            <w:r>
              <w:t>2</w:t>
            </w:r>
            <w:r>
              <w:rPr>
                <w:rFonts w:hint="eastAsia"/>
              </w:rPr>
              <w:t>分。</w:t>
            </w:r>
          </w:p>
          <w:p>
            <w:r>
              <w:t>2.</w:t>
            </w:r>
            <w:r>
              <w:rPr>
                <w:rFonts w:hint="eastAsia"/>
              </w:rPr>
              <w:t>企业具备AAA级企业信用等级证书的，得</w:t>
            </w:r>
            <w:r>
              <w:t>3</w:t>
            </w:r>
            <w:r>
              <w:rPr>
                <w:rFonts w:hint="eastAsia"/>
              </w:rPr>
              <w:t>分。</w:t>
            </w:r>
          </w:p>
          <w:p>
            <w:r>
              <w:t>3.</w:t>
            </w:r>
            <w:r>
              <w:rPr>
                <w:rFonts w:hint="eastAsia"/>
              </w:rPr>
              <w:t>企业具备国家互联网应急中心颁发的有效期内的省级或以上级别的《网络安全应急服务支撑单位证书》得</w:t>
            </w:r>
            <w:r>
              <w:t>10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相似</w:t>
            </w:r>
            <w:r>
              <w:t>业绩</w:t>
            </w:r>
          </w:p>
          <w:p>
            <w:pPr>
              <w:jc w:val="center"/>
            </w:pPr>
            <w:r>
              <w:t>（10分）</w:t>
            </w:r>
          </w:p>
        </w:tc>
        <w:tc>
          <w:tcPr>
            <w:tcW w:w="5526" w:type="dxa"/>
            <w:shd w:val="clear" w:color="auto" w:fill="auto"/>
          </w:tcPr>
          <w:p>
            <w:r>
              <w:rPr>
                <w:rFonts w:hint="eastAsia"/>
              </w:rPr>
              <w:t>1.近三年内，每具备1个等保测评服务合同案例，得</w:t>
            </w:r>
            <w:r>
              <w:t>2</w:t>
            </w:r>
            <w:r>
              <w:rPr>
                <w:rFonts w:hint="eastAsia"/>
              </w:rPr>
              <w:t>分，此项</w:t>
            </w:r>
            <w:r>
              <w:t>最高得10分</w:t>
            </w:r>
            <w:r>
              <w:rPr>
                <w:rFonts w:hint="eastAsia"/>
              </w:rPr>
              <w:t>。</w:t>
            </w:r>
          </w:p>
          <w:p>
            <w:r>
              <w:t>注明:</w:t>
            </w:r>
            <w:r>
              <w:rPr>
                <w:rFonts w:hint="eastAsia"/>
              </w:rPr>
              <w:t>（1）</w:t>
            </w:r>
            <w:r>
              <w:t>以与最终用户签订的合同原件为准</w:t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技术部分</w:t>
            </w:r>
          </w:p>
          <w:p>
            <w:pPr>
              <w:jc w:val="center"/>
            </w:pPr>
            <w:r>
              <w:rPr>
                <w:rFonts w:hint="eastAsia"/>
              </w:rPr>
              <w:t>（共</w:t>
            </w:r>
            <w:r>
              <w:t>55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技术方案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技术方案先进、合理、完整，思路清晰，符合国家相关标准和规范，完全满足采购需求；方案结构层次结构合理，结构清晰，完全符合标准要求,得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技术方案基本合理，符合国家相关标准和规范，基本满足采购需求；软件结构层次结构较合理，结构较清晰。得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-10分；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技术方案在满足用户要求方面欠缺，思路欠清晰，低于其他档次供应商；软件结构层次结构欠合理或结构欠清晰,得0-5分。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培训方案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按照项目培训安排的优劣进行比较评价：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培训计划及培训内容方面安排合理可行，满足或优于用户要求，得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培训计划及培训内容方面安排合理可行，基本满足用户要求，得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无培训计划或培训内容方面安排有缺陷，得0-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售后服务承诺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r>
              <w:t>售后服务包括服务内容、服务方式、服务时间、服务流程</w:t>
            </w:r>
            <w:r>
              <w:rPr>
                <w:rFonts w:hint="eastAsia"/>
              </w:rPr>
              <w:t>、售后文档，</w:t>
            </w:r>
            <w:r>
              <w:t>根据</w:t>
            </w:r>
            <w:r>
              <w:rPr>
                <w:rFonts w:hint="eastAsia"/>
              </w:rPr>
              <w:t>售后服务</w:t>
            </w:r>
            <w:r>
              <w:t>的</w:t>
            </w:r>
            <w:r>
              <w:rPr>
                <w:rFonts w:hint="eastAsia"/>
              </w:rPr>
              <w:t>完善性、及时性</w:t>
            </w:r>
            <w:r>
              <w:t>等</w:t>
            </w:r>
            <w:r>
              <w:rPr>
                <w:rFonts w:hint="eastAsia"/>
              </w:rPr>
              <w:t>方面情况，</w:t>
            </w:r>
            <w:r>
              <w:t>由评委分三个档次在1-10分之间打分。</w:t>
            </w:r>
          </w:p>
          <w:p>
            <w:r>
              <w:t>第一档，</w:t>
            </w:r>
            <w:r>
              <w:rPr>
                <w:rFonts w:hint="eastAsia"/>
              </w:rPr>
              <w:t>能够满足基本售后服务要求，且能</w:t>
            </w:r>
            <w:r>
              <w:t>主动提供</w:t>
            </w:r>
            <w:r>
              <w:rPr>
                <w:rFonts w:hint="eastAsia"/>
              </w:rPr>
              <w:t>其他</w:t>
            </w:r>
            <w:r>
              <w:t>技术支持和维护、服务内容完善、快速响应故障服务，得</w:t>
            </w:r>
            <w:r>
              <w:rPr>
                <w:rFonts w:hint="eastAsia"/>
                <w:lang w:val="en-US" w:eastAsia="zh-CN"/>
              </w:rPr>
              <w:t>6.1</w:t>
            </w:r>
            <w:bookmarkStart w:id="0" w:name="_GoBack"/>
            <w:bookmarkEnd w:id="0"/>
            <w:r>
              <w:rPr>
                <w:rFonts w:hint="eastAsia"/>
              </w:rPr>
              <w:t>-10</w:t>
            </w:r>
            <w:r>
              <w:t>分；</w:t>
            </w:r>
          </w:p>
          <w:p>
            <w:r>
              <w:t>第二档，</w:t>
            </w:r>
            <w:r>
              <w:rPr>
                <w:rFonts w:hint="eastAsia"/>
              </w:rPr>
              <w:t>能够满足基本售后服务要求，且能</w:t>
            </w:r>
            <w:r>
              <w:t>主动提供</w:t>
            </w:r>
            <w:r>
              <w:rPr>
                <w:rFonts w:hint="eastAsia"/>
              </w:rPr>
              <w:t>其他</w:t>
            </w:r>
            <w:r>
              <w:t>技术支持和维护、服务内容一般、故障服务较为及时的，得</w:t>
            </w:r>
            <w:r>
              <w:rPr>
                <w:rFonts w:hint="eastAsia"/>
                <w:lang w:val="en-US" w:eastAsia="zh-CN"/>
              </w:rPr>
              <w:t>3.1</w:t>
            </w:r>
            <w:r>
              <w:rPr>
                <w:rFonts w:hint="eastAsia"/>
              </w:rPr>
              <w:t>-6</w:t>
            </w:r>
            <w:r>
              <w:t>分；</w:t>
            </w:r>
          </w:p>
          <w:p>
            <w:r>
              <w:t>第三档，</w:t>
            </w:r>
            <w:r>
              <w:rPr>
                <w:rFonts w:hint="eastAsia"/>
              </w:rPr>
              <w:t>能够满足基本售后服务要求的，</w:t>
            </w:r>
            <w:r>
              <w:t>不能够主动提供</w:t>
            </w:r>
            <w:r>
              <w:rPr>
                <w:rFonts w:hint="eastAsia"/>
              </w:rPr>
              <w:t>其他</w:t>
            </w:r>
            <w:r>
              <w:t>技术支持和维护、服务内容匮乏、响应故障服务不及时，得1</w:t>
            </w:r>
            <w:r>
              <w:rPr>
                <w:rFonts w:hint="eastAsia"/>
              </w:rPr>
              <w:t>-3</w:t>
            </w:r>
            <w: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</w:pPr>
            <w:r>
              <w:t>项目人员配置</w:t>
            </w:r>
          </w:p>
          <w:p>
            <w:pPr>
              <w:jc w:val="center"/>
            </w:pPr>
            <w:r>
              <w:t>（20分）</w:t>
            </w:r>
          </w:p>
        </w:tc>
        <w:tc>
          <w:tcPr>
            <w:tcW w:w="5526" w:type="dxa"/>
            <w:shd w:val="clear" w:color="auto" w:fill="auto"/>
            <w:vAlign w:val="center"/>
          </w:tcPr>
          <w:p>
            <w:r>
              <w:t>1</w:t>
            </w:r>
            <w:r>
              <w:rPr>
                <w:rFonts w:hint="eastAsia"/>
              </w:rPr>
              <w:t>参选人为本项目配备的高级测评师，且具备CISP证书和国家网络安全应用检测专业测评人员（NSATP-A）证书，得1</w:t>
            </w:r>
            <w:r>
              <w:t>0</w:t>
            </w:r>
            <w:r>
              <w:rPr>
                <w:rFonts w:hint="eastAsia"/>
              </w:rPr>
              <w:t>分。</w:t>
            </w:r>
          </w:p>
          <w:p>
            <w:r>
              <w:t>2.</w:t>
            </w:r>
            <w:r>
              <w:rPr>
                <w:rFonts w:hint="eastAsia"/>
              </w:rPr>
              <w:t xml:space="preserve"> 项目组成员具备国家级网络安全保障工作经验，并具备相应证明文件的，累计证明文件不少于3份，得1</w:t>
            </w:r>
            <w:r>
              <w:t>0</w:t>
            </w:r>
            <w:r>
              <w:rPr>
                <w:rFonts w:hint="eastAsia"/>
              </w:rPr>
              <w:t>分；</w:t>
            </w:r>
          </w:p>
          <w:p>
            <w:r>
              <w:rPr>
                <w:rFonts w:hint="eastAsia"/>
              </w:rPr>
              <w:t>注：项目人员需提交社保证明，社保证明与投标公司不符的，不计分。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方圆魂心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圆魂心体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28FB"/>
    <w:multiLevelType w:val="multilevel"/>
    <w:tmpl w:val="62B328FB"/>
    <w:lvl w:ilvl="0" w:tentative="0">
      <w:start w:val="1"/>
      <w:numFmt w:val="chineseCountingThousand"/>
      <w:pStyle w:val="23"/>
      <w:lvlText w:val="%1、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pStyle w:val="25"/>
      <w:isLgl/>
      <w:lvlText w:val="%1.%2"/>
      <w:lvlJc w:val="left"/>
      <w:pPr>
        <w:ind w:left="576" w:hanging="576"/>
      </w:pPr>
      <w:rPr>
        <w:rFonts w:hint="default" w:ascii="Arial" w:hAnsi="Arial" w:cs="Arial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29"/>
      <w:isLgl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pStyle w:val="31"/>
      <w:isLgl/>
      <w:lvlText w:val="%1.%2.%3.%4.%5"/>
      <w:lvlJc w:val="left"/>
      <w:pPr>
        <w:ind w:left="1008" w:hanging="1008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isLgl/>
      <w:lvlText w:val="%1.%2.%3.%4.%5.%6"/>
      <w:lvlJc w:val="left"/>
      <w:pPr>
        <w:ind w:left="2287" w:hanging="1152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40"/>
    <w:rsid w:val="00074940"/>
    <w:rsid w:val="00105C20"/>
    <w:rsid w:val="001B2482"/>
    <w:rsid w:val="001B541A"/>
    <w:rsid w:val="00206EA4"/>
    <w:rsid w:val="00225FAB"/>
    <w:rsid w:val="00261DE0"/>
    <w:rsid w:val="002828DE"/>
    <w:rsid w:val="00285151"/>
    <w:rsid w:val="002851DC"/>
    <w:rsid w:val="00290F79"/>
    <w:rsid w:val="00295AAD"/>
    <w:rsid w:val="002A1534"/>
    <w:rsid w:val="00304159"/>
    <w:rsid w:val="003E61EB"/>
    <w:rsid w:val="00427B6A"/>
    <w:rsid w:val="004C6E88"/>
    <w:rsid w:val="00503F71"/>
    <w:rsid w:val="00526FEE"/>
    <w:rsid w:val="005B7924"/>
    <w:rsid w:val="005D0138"/>
    <w:rsid w:val="005D0AC8"/>
    <w:rsid w:val="006158BE"/>
    <w:rsid w:val="00671997"/>
    <w:rsid w:val="00705D85"/>
    <w:rsid w:val="008212EB"/>
    <w:rsid w:val="00831508"/>
    <w:rsid w:val="008955BE"/>
    <w:rsid w:val="008F12B2"/>
    <w:rsid w:val="0090024F"/>
    <w:rsid w:val="0091586B"/>
    <w:rsid w:val="00990FF3"/>
    <w:rsid w:val="009D43DA"/>
    <w:rsid w:val="009F6A56"/>
    <w:rsid w:val="00A022D2"/>
    <w:rsid w:val="00A3331B"/>
    <w:rsid w:val="00A60DC2"/>
    <w:rsid w:val="00A90958"/>
    <w:rsid w:val="00B56AFA"/>
    <w:rsid w:val="00BF1E8B"/>
    <w:rsid w:val="00C52672"/>
    <w:rsid w:val="00C84C2B"/>
    <w:rsid w:val="00CB0505"/>
    <w:rsid w:val="00CB6ACB"/>
    <w:rsid w:val="00D034BF"/>
    <w:rsid w:val="00D16AFF"/>
    <w:rsid w:val="00D869F3"/>
    <w:rsid w:val="00D87B6C"/>
    <w:rsid w:val="00E27150"/>
    <w:rsid w:val="00EC618B"/>
    <w:rsid w:val="00EE10D6"/>
    <w:rsid w:val="00F55FEE"/>
    <w:rsid w:val="00F61C23"/>
    <w:rsid w:val="00FB748F"/>
    <w:rsid w:val="00FC544D"/>
    <w:rsid w:val="02792688"/>
    <w:rsid w:val="03D60F9F"/>
    <w:rsid w:val="053248AC"/>
    <w:rsid w:val="07563145"/>
    <w:rsid w:val="0A23336D"/>
    <w:rsid w:val="162F4778"/>
    <w:rsid w:val="19484D74"/>
    <w:rsid w:val="1F6505F7"/>
    <w:rsid w:val="24687D1B"/>
    <w:rsid w:val="2687226F"/>
    <w:rsid w:val="27857D09"/>
    <w:rsid w:val="37DE5EF2"/>
    <w:rsid w:val="39087704"/>
    <w:rsid w:val="49E87E86"/>
    <w:rsid w:val="4FAB0AB2"/>
    <w:rsid w:val="502E2C40"/>
    <w:rsid w:val="52A26698"/>
    <w:rsid w:val="57E666DB"/>
    <w:rsid w:val="6D5442D1"/>
    <w:rsid w:val="74F66276"/>
    <w:rsid w:val="76A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1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1"/>
    <w:pPr>
      <w:keepNext/>
      <w:keepLines/>
      <w:adjustRightInd w:val="0"/>
      <w:snapToGrid w:val="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1"/>
    <w:pPr>
      <w:keepNext/>
      <w:keepLines/>
      <w:snapToGrid w:val="0"/>
      <w:jc w:val="center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1"/>
    <w:pPr>
      <w:keepNext/>
      <w:keepLines/>
      <w:snapToGrid w:val="0"/>
      <w:spacing w:before="260" w:after="260" w:line="416" w:lineRule="auto"/>
      <w:ind w:firstLine="200" w:firstLineChars="200"/>
      <w:jc w:val="center"/>
      <w:outlineLvl w:val="2"/>
    </w:pPr>
    <w:rPr>
      <w:rFonts w:eastAsia="黑体"/>
      <w:b/>
      <w:bCs/>
      <w:sz w:val="30"/>
      <w:szCs w:val="32"/>
    </w:rPr>
  </w:style>
  <w:style w:type="paragraph" w:styleId="5">
    <w:name w:val="heading 4"/>
    <w:basedOn w:val="1"/>
    <w:next w:val="1"/>
    <w:link w:val="19"/>
    <w:unhideWhenUsed/>
    <w:qFormat/>
    <w:uiPriority w:val="1"/>
    <w:pPr>
      <w:keepNext/>
      <w:keepLines/>
      <w:snapToGrid w:val="0"/>
      <w:spacing w:before="280" w:after="290" w:line="376" w:lineRule="auto"/>
      <w:ind w:firstLine="200" w:firstLineChars="200"/>
      <w:jc w:val="center"/>
      <w:outlineLvl w:val="3"/>
    </w:pPr>
    <w:rPr>
      <w:rFonts w:eastAsia="黑体"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eastAsia="黑体"/>
      <w:b/>
      <w:bCs/>
      <w:sz w:val="28"/>
      <w:szCs w:val="28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1"/>
    <w:pPr>
      <w:snapToGrid w:val="0"/>
      <w:ind w:firstLine="200" w:firstLineChars="200"/>
      <w:jc w:val="left"/>
    </w:pPr>
    <w:rPr>
      <w:rFonts w:ascii="宋体" w:hAnsi="宋体"/>
      <w:kern w:val="0"/>
      <w:sz w:val="24"/>
      <w:lang w:eastAsia="en-US"/>
    </w:rPr>
  </w:style>
  <w:style w:type="paragraph" w:styleId="9">
    <w:name w:val="Plain Text"/>
    <w:basedOn w:val="1"/>
    <w:link w:val="38"/>
    <w:qFormat/>
    <w:uiPriority w:val="0"/>
    <w:rPr>
      <w:rFonts w:ascii="宋体" w:hAnsi="Courier New" w:eastAsiaTheme="minorEastAsia" w:cstheme="minorBidi"/>
      <w:szCs w:val="21"/>
    </w:rPr>
  </w:style>
  <w:style w:type="paragraph" w:styleId="10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（绿盟科技）"/>
    <w:link w:val="15"/>
    <w:qFormat/>
    <w:uiPriority w:val="0"/>
    <w:pPr>
      <w:spacing w:line="300" w:lineRule="auto"/>
      <w:jc w:val="both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5">
    <w:name w:val="正文（绿盟科技） Char"/>
    <w:link w:val="14"/>
    <w:qFormat/>
    <w:uiPriority w:val="0"/>
    <w:rPr>
      <w:rFonts w:ascii="Arial" w:hAnsi="Arial" w:eastAsia="宋体" w:cs="Times New Roman"/>
      <w:kern w:val="0"/>
      <w:szCs w:val="21"/>
    </w:rPr>
  </w:style>
  <w:style w:type="character" w:customStyle="1" w:styleId="16">
    <w:name w:val="标题 1 字符"/>
    <w:basedOn w:val="12"/>
    <w:link w:val="2"/>
    <w:qFormat/>
    <w:uiPriority w:val="1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17">
    <w:name w:val="标题 2 字符"/>
    <w:basedOn w:val="12"/>
    <w:link w:val="3"/>
    <w:qFormat/>
    <w:uiPriority w:val="1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8">
    <w:name w:val="标题 3 字符"/>
    <w:basedOn w:val="12"/>
    <w:link w:val="4"/>
    <w:qFormat/>
    <w:uiPriority w:val="1"/>
    <w:rPr>
      <w:rFonts w:eastAsia="黑体" w:cs="Times New Roman"/>
      <w:b/>
      <w:bCs/>
      <w:sz w:val="30"/>
      <w:szCs w:val="32"/>
    </w:rPr>
  </w:style>
  <w:style w:type="character" w:customStyle="1" w:styleId="19">
    <w:name w:val="标题 4 字符"/>
    <w:basedOn w:val="12"/>
    <w:link w:val="5"/>
    <w:qFormat/>
    <w:uiPriority w:val="1"/>
    <w:rPr>
      <w:rFonts w:eastAsia="黑体" w:asciiTheme="majorHAnsi" w:hAnsiTheme="majorHAnsi" w:cstheme="majorBidi"/>
      <w:b/>
      <w:bCs/>
      <w:sz w:val="28"/>
      <w:szCs w:val="28"/>
    </w:rPr>
  </w:style>
  <w:style w:type="character" w:customStyle="1" w:styleId="20">
    <w:name w:val="标题 5 字符"/>
    <w:basedOn w:val="12"/>
    <w:link w:val="6"/>
    <w:qFormat/>
    <w:uiPriority w:val="9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21">
    <w:name w:val="标题 6 字符"/>
    <w:basedOn w:val="12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标书标题1"/>
    <w:basedOn w:val="1"/>
    <w:link w:val="24"/>
    <w:qFormat/>
    <w:uiPriority w:val="0"/>
    <w:pPr>
      <w:numPr>
        <w:ilvl w:val="0"/>
        <w:numId w:val="1"/>
      </w:numPr>
      <w:adjustRightInd w:val="0"/>
      <w:jc w:val="center"/>
      <w:outlineLvl w:val="0"/>
    </w:pPr>
    <w:rPr>
      <w:rFonts w:eastAsia="黑体"/>
      <w:b/>
      <w:snapToGrid w:val="0"/>
      <w:sz w:val="36"/>
    </w:rPr>
  </w:style>
  <w:style w:type="character" w:customStyle="1" w:styleId="24">
    <w:name w:val="标书标题1 Char"/>
    <w:basedOn w:val="12"/>
    <w:link w:val="23"/>
    <w:qFormat/>
    <w:uiPriority w:val="0"/>
    <w:rPr>
      <w:rFonts w:ascii="Times New Roman" w:hAnsi="Times New Roman" w:eastAsia="黑体" w:cs="Times New Roman"/>
      <w:b/>
      <w:snapToGrid w:val="0"/>
      <w:sz w:val="36"/>
      <w:szCs w:val="24"/>
    </w:rPr>
  </w:style>
  <w:style w:type="paragraph" w:customStyle="1" w:styleId="25">
    <w:name w:val="标书标题2"/>
    <w:basedOn w:val="22"/>
    <w:link w:val="26"/>
    <w:qFormat/>
    <w:uiPriority w:val="0"/>
    <w:pPr>
      <w:numPr>
        <w:ilvl w:val="1"/>
        <w:numId w:val="1"/>
      </w:numPr>
      <w:adjustRightInd w:val="0"/>
      <w:snapToGrid w:val="0"/>
      <w:ind w:firstLine="0" w:firstLineChars="0"/>
      <w:contextualSpacing/>
      <w:jc w:val="left"/>
      <w:outlineLvl w:val="1"/>
    </w:pPr>
    <w:rPr>
      <w:rFonts w:eastAsia="黑体"/>
      <w:b/>
      <w:sz w:val="36"/>
    </w:rPr>
  </w:style>
  <w:style w:type="character" w:customStyle="1" w:styleId="26">
    <w:name w:val="标书标题2 Char"/>
    <w:basedOn w:val="12"/>
    <w:link w:val="25"/>
    <w:qFormat/>
    <w:uiPriority w:val="0"/>
    <w:rPr>
      <w:rFonts w:ascii="Times New Roman" w:hAnsi="Times New Roman" w:eastAsia="黑体" w:cs="Times New Roman"/>
      <w:b/>
      <w:sz w:val="36"/>
      <w:szCs w:val="24"/>
    </w:rPr>
  </w:style>
  <w:style w:type="paragraph" w:customStyle="1" w:styleId="27">
    <w:name w:val="标书标题3"/>
    <w:basedOn w:val="22"/>
    <w:link w:val="28"/>
    <w:qFormat/>
    <w:uiPriority w:val="0"/>
    <w:pPr>
      <w:adjustRightInd w:val="0"/>
      <w:snapToGrid w:val="0"/>
      <w:ind w:firstLine="0" w:firstLineChars="0"/>
      <w:outlineLvl w:val="2"/>
    </w:pPr>
    <w:rPr>
      <w:rFonts w:eastAsia="黑体"/>
      <w:b/>
      <w:sz w:val="30"/>
    </w:rPr>
  </w:style>
  <w:style w:type="character" w:customStyle="1" w:styleId="28">
    <w:name w:val="标书标题3 Char"/>
    <w:basedOn w:val="12"/>
    <w:link w:val="27"/>
    <w:qFormat/>
    <w:uiPriority w:val="0"/>
    <w:rPr>
      <w:rFonts w:ascii="Times New Roman" w:hAnsi="Times New Roman" w:eastAsia="黑体" w:cs="Times New Roman"/>
      <w:b/>
      <w:sz w:val="30"/>
      <w:szCs w:val="24"/>
    </w:rPr>
  </w:style>
  <w:style w:type="paragraph" w:customStyle="1" w:styleId="29">
    <w:name w:val="标书标题4"/>
    <w:basedOn w:val="22"/>
    <w:link w:val="30"/>
    <w:qFormat/>
    <w:uiPriority w:val="0"/>
    <w:pPr>
      <w:numPr>
        <w:ilvl w:val="3"/>
        <w:numId w:val="1"/>
      </w:numPr>
      <w:adjustRightInd w:val="0"/>
      <w:snapToGrid w:val="0"/>
      <w:ind w:firstLine="0" w:firstLineChars="0"/>
      <w:outlineLvl w:val="3"/>
    </w:pPr>
    <w:rPr>
      <w:rFonts w:eastAsia="黑体"/>
      <w:b/>
      <w:sz w:val="28"/>
      <w:szCs w:val="30"/>
    </w:rPr>
  </w:style>
  <w:style w:type="character" w:customStyle="1" w:styleId="30">
    <w:name w:val="标书标题4 Char"/>
    <w:basedOn w:val="12"/>
    <w:link w:val="29"/>
    <w:qFormat/>
    <w:uiPriority w:val="0"/>
    <w:rPr>
      <w:rFonts w:ascii="Times New Roman" w:hAnsi="Times New Roman" w:eastAsia="黑体" w:cs="Times New Roman"/>
      <w:b/>
      <w:sz w:val="28"/>
      <w:szCs w:val="30"/>
    </w:rPr>
  </w:style>
  <w:style w:type="paragraph" w:customStyle="1" w:styleId="31">
    <w:name w:val="标书标题5"/>
    <w:basedOn w:val="22"/>
    <w:link w:val="32"/>
    <w:qFormat/>
    <w:uiPriority w:val="0"/>
    <w:pPr>
      <w:numPr>
        <w:ilvl w:val="4"/>
        <w:numId w:val="1"/>
      </w:numPr>
      <w:adjustRightInd w:val="0"/>
      <w:snapToGrid w:val="0"/>
      <w:ind w:firstLine="0" w:firstLineChars="0"/>
      <w:outlineLvl w:val="4"/>
    </w:pPr>
    <w:rPr>
      <w:rFonts w:ascii="Arial" w:hAnsi="Arial" w:eastAsia="黑体" w:cs="Arial"/>
      <w:b/>
      <w:sz w:val="24"/>
      <w:szCs w:val="28"/>
    </w:rPr>
  </w:style>
  <w:style w:type="character" w:customStyle="1" w:styleId="32">
    <w:name w:val="标书标题5 Char"/>
    <w:basedOn w:val="12"/>
    <w:link w:val="31"/>
    <w:qFormat/>
    <w:uiPriority w:val="0"/>
    <w:rPr>
      <w:rFonts w:ascii="Arial" w:hAnsi="Arial" w:eastAsia="黑体" w:cs="Arial"/>
      <w:b/>
      <w:sz w:val="24"/>
      <w:szCs w:val="28"/>
    </w:rPr>
  </w:style>
  <w:style w:type="paragraph" w:customStyle="1" w:styleId="33">
    <w:name w:val="标书标题6"/>
    <w:basedOn w:val="7"/>
    <w:link w:val="34"/>
    <w:qFormat/>
    <w:uiPriority w:val="0"/>
    <w:pPr>
      <w:adjustRightInd w:val="0"/>
      <w:snapToGrid w:val="0"/>
      <w:spacing w:before="0" w:after="0" w:line="360" w:lineRule="auto"/>
      <w:jc w:val="left"/>
    </w:pPr>
    <w:rPr>
      <w:rFonts w:ascii="Arial" w:hAnsi="Arial" w:eastAsia="黑体" w:cs="Arial"/>
    </w:rPr>
  </w:style>
  <w:style w:type="character" w:customStyle="1" w:styleId="34">
    <w:name w:val="标书标题6 字符"/>
    <w:basedOn w:val="12"/>
    <w:link w:val="33"/>
    <w:qFormat/>
    <w:uiPriority w:val="0"/>
    <w:rPr>
      <w:rFonts w:ascii="Arial" w:hAnsi="Arial" w:eastAsia="黑体" w:cs="Arial"/>
      <w:b/>
      <w:bCs/>
      <w:sz w:val="24"/>
      <w:szCs w:val="24"/>
    </w:rPr>
  </w:style>
  <w:style w:type="character" w:customStyle="1" w:styleId="35">
    <w:name w:val="正文文本 字符"/>
    <w:basedOn w:val="12"/>
    <w:link w:val="8"/>
    <w:qFormat/>
    <w:uiPriority w:val="1"/>
    <w:rPr>
      <w:rFonts w:ascii="宋体" w:hAnsi="宋体" w:eastAsia="宋体"/>
      <w:kern w:val="0"/>
      <w:sz w:val="24"/>
      <w:szCs w:val="24"/>
      <w:lang w:eastAsia="en-US"/>
    </w:rPr>
  </w:style>
  <w:style w:type="character" w:customStyle="1" w:styleId="36">
    <w:name w:val="页眉 字符"/>
    <w:basedOn w:val="12"/>
    <w:link w:val="11"/>
    <w:qFormat/>
    <w:uiPriority w:val="99"/>
    <w:rPr>
      <w:sz w:val="18"/>
      <w:szCs w:val="18"/>
    </w:rPr>
  </w:style>
  <w:style w:type="character" w:customStyle="1" w:styleId="37">
    <w:name w:val="页脚 字符"/>
    <w:basedOn w:val="12"/>
    <w:link w:val="10"/>
    <w:qFormat/>
    <w:uiPriority w:val="99"/>
    <w:rPr>
      <w:sz w:val="18"/>
      <w:szCs w:val="18"/>
    </w:rPr>
  </w:style>
  <w:style w:type="character" w:customStyle="1" w:styleId="38">
    <w:name w:val="纯文本 字符"/>
    <w:link w:val="9"/>
    <w:qFormat/>
    <w:uiPriority w:val="0"/>
    <w:rPr>
      <w:rFonts w:ascii="宋体" w:hAnsi="Courier New"/>
    </w:rPr>
  </w:style>
  <w:style w:type="character" w:customStyle="1" w:styleId="39">
    <w:name w:val="纯文本 Char1"/>
    <w:basedOn w:val="12"/>
    <w:semiHidden/>
    <w:qFormat/>
    <w:uiPriority w:val="99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962</Characters>
  <Lines>8</Lines>
  <Paragraphs>2</Paragraphs>
  <TotalTime>128</TotalTime>
  <ScaleCrop>false</ScaleCrop>
  <LinksUpToDate>false</LinksUpToDate>
  <CharactersWithSpaces>1128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2021-04-19T01:58:00Z</dcterms:created>
  <dc:creator>Win7</dc:creator>
  <cp:lastModifiedBy>郭玮</cp:lastModifiedBy>
  <cp:lastPrinted>2021-04-19T02:42:00Z</cp:lastPrinted>
  <dcterms:modified xsi:type="dcterms:W3CDTF">2021-10-12T08:55:05Z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