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textAlignment w:val="auto"/>
        <w:rPr>
          <w:rFonts w:hint="eastAsia" w:eastAsia="宋体"/>
          <w:b/>
          <w:bCs/>
          <w:kern w:val="2"/>
          <w:sz w:val="32"/>
          <w:szCs w:val="32"/>
          <w:lang w:eastAsia="zh-CN"/>
        </w:rPr>
      </w:pPr>
      <w:r>
        <w:rPr>
          <w:rFonts w:hint="eastAsia" w:eastAsia="宋体"/>
          <w:b/>
          <w:bCs/>
          <w:kern w:val="2"/>
          <w:sz w:val="32"/>
          <w:szCs w:val="32"/>
          <w:lang w:eastAsia="zh-CN"/>
        </w:rPr>
        <w:t>河北博物院《纵横有象</w:t>
      </w:r>
    </w:p>
    <w:p>
      <w:pPr>
        <w:adjustRightInd/>
        <w:spacing w:line="240" w:lineRule="auto"/>
        <w:jc w:val="center"/>
        <w:textAlignment w:val="auto"/>
        <w:rPr>
          <w:rFonts w:hint="eastAsia" w:eastAsia="宋体"/>
          <w:b/>
          <w:bCs/>
          <w:kern w:val="2"/>
          <w:sz w:val="32"/>
          <w:szCs w:val="32"/>
          <w:lang w:eastAsia="zh-CN"/>
        </w:rPr>
      </w:pPr>
      <w:r>
        <w:rPr>
          <w:rFonts w:hint="eastAsia" w:eastAsia="宋体"/>
          <w:b/>
          <w:bCs/>
          <w:kern w:val="2"/>
          <w:sz w:val="32"/>
          <w:szCs w:val="32"/>
          <w:lang w:eastAsia="zh-CN"/>
        </w:rPr>
        <w:t>——侯马盟书与中山三器文字艺术展》展览施工项目评审标准</w:t>
      </w:r>
    </w:p>
    <w:p>
      <w:pPr>
        <w:pStyle w:val="2"/>
        <w:jc w:val="center"/>
        <w:rPr>
          <w:rFonts w:hint="default"/>
          <w:lang w:val="en-US" w:eastAsia="zh-CN"/>
        </w:rPr>
      </w:pPr>
      <w:r>
        <w:rPr>
          <w:rFonts w:hint="eastAsia"/>
          <w:lang w:val="en-US" w:eastAsia="zh-CN"/>
        </w:rPr>
        <w:t xml:space="preserve">  </w:t>
      </w:r>
      <w:bookmarkStart w:id="0" w:name="_GoBack"/>
      <w:bookmarkEnd w:id="0"/>
    </w:p>
    <w:tbl>
      <w:tblPr>
        <w:tblStyle w:val="9"/>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431"/>
        <w:gridCol w:w="954"/>
        <w:gridCol w:w="5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jc w:val="center"/>
        </w:trPr>
        <w:tc>
          <w:tcPr>
            <w:tcW w:w="1430" w:type="dxa"/>
            <w:vAlign w:val="center"/>
          </w:tcPr>
          <w:p>
            <w:pPr>
              <w:spacing w:line="400" w:lineRule="exact"/>
              <w:jc w:val="center"/>
              <w:rPr>
                <w:rFonts w:ascii="宋体" w:hAnsi="宋体"/>
                <w:b/>
                <w:szCs w:val="24"/>
              </w:rPr>
            </w:pPr>
            <w:r>
              <w:rPr>
                <w:rFonts w:hint="eastAsia" w:ascii="宋体" w:hAnsi="宋体"/>
                <w:b/>
                <w:szCs w:val="24"/>
              </w:rPr>
              <w:t>类别</w:t>
            </w:r>
          </w:p>
        </w:tc>
        <w:tc>
          <w:tcPr>
            <w:tcW w:w="1431" w:type="dxa"/>
            <w:vAlign w:val="center"/>
          </w:tcPr>
          <w:p>
            <w:pPr>
              <w:spacing w:line="400" w:lineRule="exact"/>
              <w:jc w:val="center"/>
              <w:rPr>
                <w:rFonts w:ascii="宋体" w:hAnsi="宋体"/>
                <w:b/>
                <w:szCs w:val="24"/>
              </w:rPr>
            </w:pPr>
            <w:r>
              <w:rPr>
                <w:rFonts w:hint="eastAsia" w:ascii="宋体" w:hAnsi="宋体"/>
                <w:b/>
                <w:szCs w:val="24"/>
              </w:rPr>
              <w:t>评审项目</w:t>
            </w:r>
          </w:p>
        </w:tc>
        <w:tc>
          <w:tcPr>
            <w:tcW w:w="954"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7" w:type="dxa"/>
            <w:vAlign w:val="center"/>
          </w:tcPr>
          <w:p>
            <w:pPr>
              <w:spacing w:line="400" w:lineRule="exact"/>
              <w:jc w:val="center"/>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0" w:type="dxa"/>
            <w:vAlign w:val="center"/>
          </w:tcPr>
          <w:p>
            <w:pPr>
              <w:spacing w:line="400" w:lineRule="exact"/>
              <w:jc w:val="center"/>
              <w:rPr>
                <w:rFonts w:hint="eastAsia" w:ascii="宋体" w:hAnsi="宋体" w:eastAsia="宋体"/>
                <w:b/>
                <w:szCs w:val="24"/>
                <w:lang w:eastAsia="zh-CN"/>
              </w:rPr>
            </w:pPr>
            <w:r>
              <w:rPr>
                <w:rFonts w:hint="eastAsia" w:ascii="宋体" w:hAnsi="宋体"/>
                <w:b/>
                <w:szCs w:val="24"/>
              </w:rPr>
              <w:t>报价</w:t>
            </w:r>
            <w:r>
              <w:rPr>
                <w:rFonts w:hint="eastAsia" w:ascii="宋体" w:hAnsi="宋体"/>
                <w:b/>
                <w:szCs w:val="24"/>
              </w:rPr>
              <w:br w:type="textWrapping"/>
            </w:r>
            <w:r>
              <w:rPr>
                <w:rFonts w:hint="eastAsia" w:ascii="宋体" w:hAnsi="宋体"/>
                <w:b/>
                <w:szCs w:val="24"/>
                <w:lang w:eastAsia="zh-CN"/>
              </w:rPr>
              <w:t>（共</w:t>
            </w:r>
            <w:r>
              <w:rPr>
                <w:rFonts w:hint="eastAsia" w:ascii="宋体" w:hAnsi="宋体"/>
                <w:b/>
                <w:szCs w:val="24"/>
                <w:lang w:val="en-US" w:eastAsia="zh-CN"/>
              </w:rPr>
              <w:t>50分</w:t>
            </w:r>
            <w:r>
              <w:rPr>
                <w:rFonts w:hint="eastAsia" w:ascii="宋体" w:hAnsi="宋体"/>
                <w:b/>
                <w:szCs w:val="24"/>
                <w:lang w:eastAsia="zh-CN"/>
              </w:rPr>
              <w:t>）</w:t>
            </w:r>
          </w:p>
        </w:tc>
        <w:tc>
          <w:tcPr>
            <w:tcW w:w="1431" w:type="dxa"/>
            <w:vAlign w:val="center"/>
          </w:tcPr>
          <w:p>
            <w:pPr>
              <w:spacing w:line="400" w:lineRule="exact"/>
              <w:jc w:val="center"/>
              <w:rPr>
                <w:rFonts w:ascii="宋体" w:hAnsi="宋体"/>
                <w:b/>
                <w:szCs w:val="24"/>
              </w:rPr>
            </w:pPr>
            <w:r>
              <w:rPr>
                <w:rFonts w:hint="eastAsia" w:ascii="宋体" w:hAnsi="宋体"/>
                <w:b/>
                <w:szCs w:val="24"/>
              </w:rPr>
              <w:t>报价分</w:t>
            </w:r>
          </w:p>
        </w:tc>
        <w:tc>
          <w:tcPr>
            <w:tcW w:w="954" w:type="dxa"/>
            <w:vAlign w:val="center"/>
          </w:tcPr>
          <w:p>
            <w:pPr>
              <w:spacing w:line="400" w:lineRule="exact"/>
              <w:jc w:val="center"/>
              <w:rPr>
                <w:rFonts w:hint="default" w:ascii="宋体" w:hAnsi="宋体" w:eastAsia="宋体"/>
                <w:b/>
                <w:szCs w:val="24"/>
                <w:lang w:val="en-US" w:eastAsia="zh-CN"/>
              </w:rPr>
            </w:pPr>
            <w:r>
              <w:rPr>
                <w:rFonts w:hint="eastAsia" w:ascii="宋体" w:hAnsi="宋体"/>
                <w:b/>
                <w:szCs w:val="24"/>
                <w:lang w:val="en-US" w:eastAsia="zh-CN"/>
              </w:rPr>
              <w:t>50</w:t>
            </w:r>
          </w:p>
        </w:tc>
        <w:tc>
          <w:tcPr>
            <w:tcW w:w="5427" w:type="dxa"/>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投标人报价得分＝（有效最低投标报价／该投标人报价）×</w:t>
            </w:r>
            <w:r>
              <w:rPr>
                <w:rFonts w:hint="eastAsia" w:ascii="宋体" w:hAnsi="宋体" w:cs="宋体"/>
                <w:szCs w:val="21"/>
                <w:lang w:val="en-US" w:eastAsia="zh-CN"/>
              </w:rPr>
              <w:t>50</w:t>
            </w:r>
            <w:r>
              <w:rPr>
                <w:rFonts w:hint="eastAsia" w:ascii="宋体" w:hAnsi="宋体" w:eastAsia="宋体" w:cs="宋体"/>
                <w:szCs w:val="21"/>
                <w:lang w:val="en-US" w:eastAsia="zh-CN"/>
              </w:rPr>
              <w:t>（保留1位小数点，第2位四舍五入，下同）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430" w:type="dxa"/>
            <w:vMerge w:val="restart"/>
            <w:vAlign w:val="center"/>
          </w:tcPr>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spacing w:line="400" w:lineRule="exact"/>
              <w:ind w:firstLine="241" w:firstLineChars="100"/>
              <w:jc w:val="both"/>
              <w:rPr>
                <w:rFonts w:hint="eastAsia" w:ascii="宋体" w:hAnsi="宋体"/>
                <w:b/>
                <w:szCs w:val="24"/>
                <w:lang w:val="en-US" w:eastAsia="zh-CN"/>
              </w:rPr>
            </w:pPr>
            <w:r>
              <w:rPr>
                <w:rFonts w:hint="eastAsia" w:ascii="宋体" w:hAnsi="宋体"/>
                <w:b/>
                <w:szCs w:val="24"/>
                <w:lang w:val="en-US" w:eastAsia="zh-CN"/>
              </w:rPr>
              <w:t>商务</w:t>
            </w:r>
            <w:r>
              <w:rPr>
                <w:rFonts w:hint="eastAsia" w:ascii="宋体" w:hAnsi="宋体"/>
                <w:b/>
                <w:szCs w:val="24"/>
              </w:rPr>
              <w:t>部分</w:t>
            </w:r>
            <w:r>
              <w:rPr>
                <w:rFonts w:hint="eastAsia" w:ascii="宋体" w:hAnsi="宋体"/>
                <w:b/>
                <w:szCs w:val="24"/>
              </w:rPr>
              <w:br w:type="textWrapping"/>
            </w:r>
            <w:r>
              <w:rPr>
                <w:rFonts w:hint="eastAsia" w:ascii="宋体" w:hAnsi="宋体"/>
                <w:b/>
                <w:szCs w:val="24"/>
                <w:lang w:eastAsia="zh-CN"/>
              </w:rPr>
              <w:t>（共</w:t>
            </w:r>
            <w:r>
              <w:rPr>
                <w:rFonts w:hint="eastAsia" w:ascii="宋体" w:hAnsi="宋体"/>
                <w:b/>
                <w:szCs w:val="24"/>
                <w:lang w:val="en-US" w:eastAsia="zh-CN"/>
              </w:rPr>
              <w:t>20分</w:t>
            </w:r>
            <w:r>
              <w:rPr>
                <w:rFonts w:hint="eastAsia" w:ascii="宋体" w:hAnsi="宋体"/>
                <w:b/>
                <w:szCs w:val="24"/>
                <w:lang w:eastAsia="zh-CN"/>
              </w:rPr>
              <w:t>）</w:t>
            </w:r>
          </w:p>
          <w:p>
            <w:pPr>
              <w:spacing w:line="400" w:lineRule="exact"/>
              <w:jc w:val="center"/>
              <w:rPr>
                <w:rFonts w:hint="eastAsia" w:ascii="宋体" w:hAnsi="宋体"/>
                <w:b/>
                <w:szCs w:val="24"/>
                <w:lang w:val="en-US" w:eastAsia="zh-CN"/>
              </w:rPr>
            </w:pPr>
          </w:p>
          <w:p>
            <w:pPr>
              <w:spacing w:line="400" w:lineRule="exact"/>
              <w:jc w:val="center"/>
              <w:rPr>
                <w:rFonts w:hint="eastAsia" w:ascii="宋体" w:hAnsi="宋体"/>
                <w:b/>
                <w:szCs w:val="24"/>
                <w:lang w:val="en-US" w:eastAsia="zh-CN"/>
              </w:rPr>
            </w:pPr>
          </w:p>
          <w:p>
            <w:pPr>
              <w:pStyle w:val="2"/>
              <w:rPr>
                <w:rFonts w:hint="eastAsia" w:ascii="宋体" w:hAnsi="宋体"/>
                <w:b/>
                <w:szCs w:val="24"/>
                <w:lang w:val="en-US" w:eastAsia="zh-CN"/>
              </w:rPr>
            </w:pPr>
          </w:p>
          <w:p>
            <w:pPr>
              <w:pStyle w:val="6"/>
              <w:rPr>
                <w:rFonts w:hint="eastAsia" w:ascii="宋体" w:hAnsi="宋体"/>
                <w:b/>
                <w:szCs w:val="24"/>
                <w:lang w:val="en-US" w:eastAsia="zh-CN"/>
              </w:rPr>
            </w:pPr>
          </w:p>
          <w:p>
            <w:pPr>
              <w:rPr>
                <w:rFonts w:hint="eastAsia" w:ascii="宋体" w:hAnsi="宋体"/>
                <w:b/>
                <w:szCs w:val="24"/>
                <w:lang w:val="en-US" w:eastAsia="zh-CN"/>
              </w:rPr>
            </w:pPr>
          </w:p>
          <w:p>
            <w:pPr>
              <w:pStyle w:val="2"/>
              <w:rPr>
                <w:rFonts w:hint="eastAsia" w:ascii="宋体" w:hAnsi="宋体"/>
                <w:b/>
                <w:szCs w:val="24"/>
                <w:lang w:val="en-US" w:eastAsia="zh-CN"/>
              </w:rPr>
            </w:pPr>
          </w:p>
          <w:p>
            <w:pPr>
              <w:pStyle w:val="6"/>
              <w:rPr>
                <w:rFonts w:hint="eastAsia" w:ascii="宋体" w:hAnsi="宋体"/>
                <w:b/>
                <w:szCs w:val="24"/>
                <w:lang w:val="en-US" w:eastAsia="zh-CN"/>
              </w:rPr>
            </w:pPr>
          </w:p>
          <w:p>
            <w:pPr>
              <w:rPr>
                <w:rFonts w:hint="eastAsia" w:ascii="宋体" w:hAnsi="宋体"/>
                <w:b/>
                <w:szCs w:val="24"/>
                <w:lang w:val="en-US" w:eastAsia="zh-CN"/>
              </w:rPr>
            </w:pPr>
          </w:p>
          <w:p>
            <w:pPr>
              <w:pStyle w:val="2"/>
              <w:rPr>
                <w:rFonts w:hint="eastAsia" w:ascii="宋体" w:hAnsi="宋体"/>
                <w:b/>
                <w:szCs w:val="24"/>
                <w:lang w:val="en-US" w:eastAsia="zh-CN"/>
              </w:rPr>
            </w:pPr>
          </w:p>
          <w:p>
            <w:pPr>
              <w:pStyle w:val="6"/>
              <w:rPr>
                <w:rFonts w:hint="eastAsia" w:ascii="宋体" w:hAnsi="宋体"/>
                <w:b/>
                <w:szCs w:val="24"/>
                <w:lang w:val="en-US" w:eastAsia="zh-CN"/>
              </w:rPr>
            </w:pPr>
          </w:p>
          <w:p>
            <w:pPr>
              <w:rPr>
                <w:rFonts w:hint="eastAsia" w:ascii="宋体" w:hAnsi="宋体"/>
                <w:b/>
                <w:szCs w:val="24"/>
                <w:lang w:val="en-US" w:eastAsia="zh-CN"/>
              </w:rPr>
            </w:pPr>
          </w:p>
          <w:p>
            <w:pPr>
              <w:spacing w:line="400" w:lineRule="exact"/>
              <w:jc w:val="both"/>
              <w:rPr>
                <w:rFonts w:hint="eastAsia" w:ascii="宋体" w:hAnsi="宋体"/>
                <w:b/>
                <w:szCs w:val="24"/>
                <w:lang w:val="en-US" w:eastAsia="zh-CN"/>
              </w:rPr>
            </w:pPr>
          </w:p>
        </w:tc>
        <w:tc>
          <w:tcPr>
            <w:tcW w:w="1431" w:type="dxa"/>
            <w:vAlign w:val="center"/>
          </w:tcPr>
          <w:p>
            <w:pPr>
              <w:spacing w:line="400" w:lineRule="exact"/>
              <w:jc w:val="center"/>
              <w:rPr>
                <w:rFonts w:hint="eastAsia" w:ascii="宋体" w:hAnsi="宋体"/>
                <w:b/>
                <w:szCs w:val="24"/>
              </w:rPr>
            </w:pPr>
            <w:r>
              <w:rPr>
                <w:rFonts w:hint="eastAsia" w:ascii="宋体" w:hAnsi="宋体"/>
                <w:b/>
                <w:szCs w:val="24"/>
              </w:rPr>
              <w:t>商务</w:t>
            </w:r>
            <w:r>
              <w:rPr>
                <w:rFonts w:hint="eastAsia" w:ascii="宋体" w:hAnsi="宋体"/>
                <w:b/>
                <w:szCs w:val="24"/>
                <w:lang w:eastAsia="zh-CN"/>
              </w:rPr>
              <w:t>要求</w:t>
            </w:r>
            <w:r>
              <w:rPr>
                <w:rFonts w:hint="eastAsia" w:ascii="宋体" w:hAnsi="宋体"/>
                <w:b/>
                <w:szCs w:val="24"/>
              </w:rPr>
              <w:t>响应情况</w:t>
            </w:r>
          </w:p>
        </w:tc>
        <w:tc>
          <w:tcPr>
            <w:tcW w:w="954" w:type="dxa"/>
            <w:vAlign w:val="center"/>
          </w:tcPr>
          <w:p>
            <w:pPr>
              <w:spacing w:line="400" w:lineRule="exact"/>
              <w:jc w:val="center"/>
              <w:rPr>
                <w:rFonts w:hint="default" w:ascii="宋体" w:hAnsi="宋体"/>
                <w:b/>
                <w:szCs w:val="24"/>
                <w:lang w:val="en-US" w:eastAsia="zh-CN"/>
              </w:rPr>
            </w:pPr>
            <w:r>
              <w:rPr>
                <w:rFonts w:hint="eastAsia" w:ascii="宋体" w:hAnsi="宋体"/>
                <w:b/>
                <w:szCs w:val="24"/>
                <w:lang w:val="en-US" w:eastAsia="zh-CN"/>
              </w:rPr>
              <w:t>5</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不能实质性满足重要商务要求的为无效响应。在满足重要商务要求的基础上，对供应商的商务要求响应程度进行综合比较评价：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第一档，响应全面，描述完备、细致，完全满足且部分优于采购需求的，得4-5分；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第二档，响应较全面、细致，满足采购需求的，得2-3.5分；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第三档，基本响应采购需求，但有缺陷或部分一般指标不满足需求的，得0-1.5分。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430" w:type="dxa"/>
            <w:vMerge w:val="continue"/>
            <w:vAlign w:val="center"/>
          </w:tcPr>
          <w:p>
            <w:pPr>
              <w:spacing w:line="400" w:lineRule="exact"/>
              <w:jc w:val="center"/>
              <w:rPr>
                <w:rFonts w:ascii="宋体" w:hAnsi="宋体"/>
                <w:b/>
                <w:szCs w:val="24"/>
              </w:rPr>
            </w:pPr>
          </w:p>
        </w:tc>
        <w:tc>
          <w:tcPr>
            <w:tcW w:w="1431" w:type="dxa"/>
            <w:vAlign w:val="center"/>
          </w:tcPr>
          <w:p>
            <w:pPr>
              <w:spacing w:line="400" w:lineRule="exact"/>
              <w:jc w:val="center"/>
              <w:rPr>
                <w:rFonts w:hint="eastAsia" w:ascii="宋体" w:hAnsi="宋体"/>
                <w:b/>
                <w:szCs w:val="24"/>
              </w:rPr>
            </w:pPr>
            <w:r>
              <w:rPr>
                <w:rFonts w:hint="eastAsia" w:ascii="宋体" w:hAnsi="宋体"/>
                <w:b/>
                <w:szCs w:val="24"/>
              </w:rPr>
              <w:t>售后服务及体系</w:t>
            </w:r>
          </w:p>
        </w:tc>
        <w:tc>
          <w:tcPr>
            <w:tcW w:w="954" w:type="dxa"/>
            <w:vAlign w:val="center"/>
          </w:tcPr>
          <w:p>
            <w:pPr>
              <w:spacing w:line="400" w:lineRule="exact"/>
              <w:jc w:val="center"/>
              <w:rPr>
                <w:rFonts w:hint="default" w:ascii="宋体" w:hAnsi="宋体"/>
                <w:b/>
                <w:szCs w:val="24"/>
                <w:lang w:val="en-US" w:eastAsia="zh-CN"/>
              </w:rPr>
            </w:pPr>
            <w:r>
              <w:rPr>
                <w:rFonts w:hint="eastAsia" w:ascii="宋体" w:hAnsi="宋体"/>
                <w:b/>
                <w:szCs w:val="24"/>
                <w:lang w:val="en-US" w:eastAsia="zh-CN"/>
              </w:rPr>
              <w:t>5</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根据供应商的售后服务、技术支持能力与承诺优劣进行综合比较评价，分三档进行打分。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第一档，项目对接响应及时，能够妥善安排各项施工人员的进场流程，按照要求及时更新设计，能及时处理问题的，得4-5分；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第二档，能够积极配合，但处理不够及时的，得2-3.5分；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第三档：不能够主动的提供服务，得0-1.5分。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0" w:type="dxa"/>
            <w:vMerge w:val="continue"/>
            <w:vAlign w:val="center"/>
          </w:tcPr>
          <w:p>
            <w:pPr>
              <w:spacing w:line="400" w:lineRule="exact"/>
              <w:jc w:val="center"/>
              <w:rPr>
                <w:rFonts w:hint="eastAsia" w:ascii="宋体" w:hAnsi="宋体"/>
                <w:b w:val="0"/>
                <w:bCs/>
                <w:szCs w:val="24"/>
                <w:lang w:val="en-US" w:eastAsia="zh-CN"/>
              </w:rPr>
            </w:pPr>
          </w:p>
        </w:tc>
        <w:tc>
          <w:tcPr>
            <w:tcW w:w="1431" w:type="dxa"/>
            <w:vAlign w:val="center"/>
          </w:tcPr>
          <w:p>
            <w:pPr>
              <w:spacing w:line="400" w:lineRule="exact"/>
              <w:jc w:val="center"/>
              <w:rPr>
                <w:rFonts w:hint="eastAsia" w:ascii="宋体" w:hAnsi="宋体"/>
                <w:b/>
                <w:szCs w:val="24"/>
              </w:rPr>
            </w:pPr>
            <w:r>
              <w:rPr>
                <w:rFonts w:hint="eastAsia" w:ascii="宋体" w:hAnsi="宋体"/>
                <w:b/>
                <w:szCs w:val="24"/>
              </w:rPr>
              <w:t>同类业绩</w:t>
            </w:r>
          </w:p>
          <w:p>
            <w:pPr>
              <w:spacing w:line="400" w:lineRule="exact"/>
              <w:jc w:val="center"/>
              <w:rPr>
                <w:rFonts w:hint="eastAsia" w:ascii="宋体" w:hAnsi="宋体" w:eastAsia="宋体"/>
                <w:b/>
                <w:szCs w:val="24"/>
                <w:lang w:eastAsia="zh-CN"/>
              </w:rPr>
            </w:pPr>
          </w:p>
        </w:tc>
        <w:tc>
          <w:tcPr>
            <w:tcW w:w="954" w:type="dxa"/>
            <w:vAlign w:val="center"/>
          </w:tcPr>
          <w:p>
            <w:pPr>
              <w:pStyle w:val="2"/>
              <w:jc w:val="center"/>
              <w:rPr>
                <w:rFonts w:hint="default"/>
                <w:lang w:val="en-US" w:eastAsia="zh-CN"/>
              </w:rPr>
            </w:pPr>
            <w:r>
              <w:rPr>
                <w:rFonts w:hint="eastAsia"/>
                <w:lang w:val="en-US" w:eastAsia="zh-CN"/>
              </w:rPr>
              <w:t>10</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供应商需提交近三年内，具有展览设计施工的案例，须提交相应图文资料及合同。每提交1个省级及以上博物馆、纪念馆、展览馆展览设计施工案例，得2.5分；每提交1个市级及以下博物馆、纪念馆、展览馆展览设计施工案例，得1分；其他展览项目，每提交一个施工案例，得0.5分。此项最高得</w:t>
            </w:r>
            <w:r>
              <w:rPr>
                <w:rFonts w:hint="eastAsia" w:ascii="宋体" w:hAnsi="宋体" w:cs="宋体"/>
                <w:szCs w:val="21"/>
                <w:lang w:val="en-US" w:eastAsia="zh-CN"/>
              </w:rPr>
              <w:t>10</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6" w:hRule="atLeast"/>
          <w:jc w:val="center"/>
        </w:trPr>
        <w:tc>
          <w:tcPr>
            <w:tcW w:w="1430" w:type="dxa"/>
            <w:vMerge w:val="restart"/>
            <w:vAlign w:val="center"/>
          </w:tcPr>
          <w:p>
            <w:pPr>
              <w:pStyle w:val="6"/>
              <w:rPr>
                <w:rFonts w:hint="eastAsia"/>
                <w:lang w:val="en-US" w:eastAsia="zh-CN"/>
              </w:rPr>
            </w:pPr>
          </w:p>
          <w:p>
            <w:pPr>
              <w:spacing w:line="400" w:lineRule="exact"/>
              <w:jc w:val="center"/>
              <w:rPr>
                <w:rFonts w:hint="eastAsia" w:ascii="宋体" w:hAnsi="宋体"/>
                <w:b/>
                <w:szCs w:val="24"/>
                <w:lang w:val="en-US" w:eastAsia="zh-CN"/>
              </w:rPr>
            </w:pPr>
            <w:r>
              <w:rPr>
                <w:rFonts w:hint="eastAsia" w:ascii="宋体" w:hAnsi="宋体"/>
                <w:b/>
                <w:szCs w:val="24"/>
                <w:lang w:val="en-US" w:eastAsia="zh-CN"/>
              </w:rPr>
              <w:t xml:space="preserve"> 技术部分</w:t>
            </w:r>
            <w:r>
              <w:rPr>
                <w:rFonts w:hint="eastAsia" w:ascii="宋体" w:hAnsi="宋体"/>
                <w:b/>
                <w:szCs w:val="24"/>
                <w:lang w:val="en-US" w:eastAsia="zh-CN"/>
              </w:rPr>
              <w:br w:type="textWrapping"/>
            </w:r>
            <w:r>
              <w:rPr>
                <w:rFonts w:hint="eastAsia" w:ascii="宋体" w:hAnsi="宋体"/>
                <w:b/>
                <w:szCs w:val="24"/>
                <w:lang w:val="en-US" w:eastAsia="zh-CN"/>
              </w:rPr>
              <w:t>（共30分）</w:t>
            </w:r>
          </w:p>
        </w:tc>
        <w:tc>
          <w:tcPr>
            <w:tcW w:w="1431" w:type="dxa"/>
            <w:vAlign w:val="center"/>
          </w:tcPr>
          <w:p>
            <w:pPr>
              <w:spacing w:line="400" w:lineRule="exact"/>
              <w:jc w:val="center"/>
              <w:rPr>
                <w:rFonts w:hint="eastAsia" w:ascii="宋体" w:hAnsi="宋体"/>
                <w:b/>
                <w:szCs w:val="24"/>
                <w:lang w:val="en-US" w:eastAsia="zh-CN"/>
              </w:rPr>
            </w:pPr>
            <w:r>
              <w:rPr>
                <w:rFonts w:hint="eastAsia" w:ascii="宋体" w:hAnsi="宋体"/>
                <w:b/>
                <w:szCs w:val="24"/>
                <w:lang w:eastAsia="zh-CN"/>
              </w:rPr>
              <w:t>实施方案</w:t>
            </w:r>
          </w:p>
        </w:tc>
        <w:tc>
          <w:tcPr>
            <w:tcW w:w="954" w:type="dxa"/>
            <w:vAlign w:val="center"/>
          </w:tcPr>
          <w:p>
            <w:pPr>
              <w:pStyle w:val="2"/>
              <w:ind w:firstLine="240" w:firstLineChars="100"/>
              <w:rPr>
                <w:rFonts w:hint="default"/>
                <w:lang w:val="en-US" w:eastAsia="zh-CN"/>
              </w:rPr>
            </w:pPr>
            <w:r>
              <w:rPr>
                <w:rFonts w:hint="eastAsia"/>
                <w:lang w:val="en-US" w:eastAsia="zh-CN"/>
              </w:rPr>
              <w:t>20</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根据供应商提供的项目实施方案进行评价：</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能依照项目设计方案提供明确的施工进度，并在规定时间内高水准完成各项施工及布展、撤展工作；施工材料满足规定采购范围且符合国家现行标准；制定切实可行的质量和安全管理措施；具备专业的加工设备和工具，能提供相应证明材料；写真喷绘色彩精准，精度不低于300dpi/㎡，高清UV油画布喷绘精度不低于30dpi/㎡，铺设平整不起泡。得：</w:t>
            </w:r>
            <w:r>
              <w:rPr>
                <w:rFonts w:hint="eastAsia" w:ascii="宋体" w:hAnsi="宋体" w:cs="宋体"/>
                <w:szCs w:val="21"/>
                <w:lang w:val="en-US" w:eastAsia="zh-CN"/>
              </w:rPr>
              <w:t>14</w:t>
            </w:r>
            <w:r>
              <w:rPr>
                <w:rFonts w:hint="eastAsia" w:ascii="宋体" w:hAnsi="宋体" w:eastAsia="宋体" w:cs="宋体"/>
                <w:szCs w:val="21"/>
                <w:lang w:val="en-US" w:eastAsia="zh-CN"/>
              </w:rPr>
              <w:t>-</w:t>
            </w:r>
            <w:r>
              <w:rPr>
                <w:rFonts w:hint="eastAsia" w:ascii="宋体" w:hAnsi="宋体" w:cs="宋体"/>
                <w:szCs w:val="21"/>
                <w:lang w:val="en-US" w:eastAsia="zh-CN"/>
              </w:rPr>
              <w:t>2</w:t>
            </w:r>
            <w:r>
              <w:rPr>
                <w:rFonts w:hint="eastAsia" w:ascii="宋体" w:hAnsi="宋体" w:eastAsia="宋体" w:cs="宋体"/>
                <w:szCs w:val="21"/>
                <w:lang w:val="en-US" w:eastAsia="zh-CN"/>
              </w:rPr>
              <w:t>0分</w:t>
            </w:r>
            <w:r>
              <w:rPr>
                <w:rFonts w:hint="eastAsia" w:ascii="宋体" w:hAnsi="宋体" w:cs="宋体"/>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第二档，能在规定时间内基本完成各项施工及布展、撤展工作；施工材料基本符合国家现行标准；具有相关安全管理措施；具备基本的加工设备和工具；写真喷绘色彩基本准确，铺设施工基本平整。得：</w:t>
            </w:r>
            <w:r>
              <w:rPr>
                <w:rFonts w:hint="eastAsia" w:ascii="宋体" w:hAnsi="宋体" w:cs="宋体"/>
                <w:szCs w:val="21"/>
                <w:lang w:val="en-US" w:eastAsia="zh-CN"/>
              </w:rPr>
              <w:t>8</w:t>
            </w:r>
            <w:r>
              <w:rPr>
                <w:rFonts w:hint="eastAsia" w:ascii="宋体" w:hAnsi="宋体" w:eastAsia="宋体" w:cs="宋体"/>
                <w:szCs w:val="21"/>
                <w:lang w:val="en-US" w:eastAsia="zh-CN"/>
              </w:rPr>
              <w:t>-</w:t>
            </w:r>
            <w:r>
              <w:rPr>
                <w:rFonts w:hint="eastAsia" w:ascii="宋体" w:hAnsi="宋体" w:cs="宋体"/>
                <w:szCs w:val="21"/>
                <w:lang w:val="en-US" w:eastAsia="zh-CN"/>
              </w:rPr>
              <w:t>13.</w:t>
            </w:r>
            <w:r>
              <w:rPr>
                <w:rFonts w:hint="eastAsia" w:ascii="宋体" w:hAnsi="宋体" w:eastAsia="宋体" w:cs="宋体"/>
                <w:szCs w:val="21"/>
                <w:lang w:val="en-US" w:eastAsia="zh-CN"/>
              </w:rPr>
              <w:t>5分</w:t>
            </w:r>
            <w:r>
              <w:rPr>
                <w:rFonts w:hint="eastAsia" w:ascii="宋体" w:hAnsi="宋体" w:cs="宋体"/>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第三档，设计及施工人员相对不足，施工水准一般，加工车间及各项设备工具相对薄弱。得：0-</w:t>
            </w:r>
            <w:r>
              <w:rPr>
                <w:rFonts w:hint="eastAsia" w:ascii="宋体" w:hAnsi="宋体" w:cs="宋体"/>
                <w:szCs w:val="21"/>
                <w:lang w:val="en-US" w:eastAsia="zh-CN"/>
              </w:rPr>
              <w:t>7.5</w:t>
            </w:r>
            <w:r>
              <w:rPr>
                <w:rFonts w:hint="eastAsia" w:ascii="宋体" w:hAnsi="宋体" w:eastAsia="宋体" w:cs="宋体"/>
                <w:szCs w:val="21"/>
                <w:lang w:val="en-US" w:eastAsia="zh-CN"/>
              </w:rPr>
              <w:t>分</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jc w:val="center"/>
        </w:trPr>
        <w:tc>
          <w:tcPr>
            <w:tcW w:w="1430" w:type="dxa"/>
            <w:vMerge w:val="continue"/>
            <w:vAlign w:val="center"/>
          </w:tcPr>
          <w:p>
            <w:pPr>
              <w:spacing w:line="400" w:lineRule="exact"/>
              <w:jc w:val="center"/>
              <w:rPr>
                <w:rFonts w:ascii="宋体" w:hAnsi="宋体"/>
                <w:b/>
                <w:szCs w:val="24"/>
              </w:rPr>
            </w:pPr>
          </w:p>
        </w:tc>
        <w:tc>
          <w:tcPr>
            <w:tcW w:w="1431" w:type="dxa"/>
            <w:vAlign w:val="center"/>
          </w:tcPr>
          <w:p>
            <w:pPr>
              <w:spacing w:line="400" w:lineRule="exact"/>
              <w:jc w:val="center"/>
              <w:rPr>
                <w:rFonts w:hint="eastAsia" w:ascii="宋体" w:hAnsi="宋体"/>
                <w:b/>
                <w:szCs w:val="24"/>
                <w:lang w:eastAsia="zh-CN"/>
              </w:rPr>
            </w:pPr>
            <w:r>
              <w:rPr>
                <w:rFonts w:hint="eastAsia" w:ascii="宋体" w:hAnsi="宋体"/>
                <w:b/>
                <w:szCs w:val="24"/>
                <w:lang w:val="en-US" w:eastAsia="zh-CN"/>
              </w:rPr>
              <w:t>施工</w:t>
            </w:r>
            <w:r>
              <w:rPr>
                <w:rFonts w:hint="eastAsia" w:ascii="宋体" w:hAnsi="宋体"/>
                <w:b/>
                <w:szCs w:val="24"/>
                <w:lang w:eastAsia="zh-CN"/>
              </w:rPr>
              <w:t>团队</w:t>
            </w:r>
          </w:p>
          <w:p>
            <w:pPr>
              <w:spacing w:line="400" w:lineRule="exact"/>
              <w:jc w:val="center"/>
              <w:rPr>
                <w:rFonts w:ascii="宋体" w:hAnsi="宋体"/>
                <w:b/>
                <w:szCs w:val="24"/>
              </w:rPr>
            </w:pPr>
            <w:r>
              <w:rPr>
                <w:rFonts w:hint="eastAsia" w:ascii="宋体" w:hAnsi="宋体"/>
                <w:b/>
                <w:szCs w:val="24"/>
                <w:lang w:val="en-US" w:eastAsia="zh-CN"/>
              </w:rPr>
              <w:t>配置</w:t>
            </w:r>
          </w:p>
        </w:tc>
        <w:tc>
          <w:tcPr>
            <w:tcW w:w="954" w:type="dxa"/>
            <w:vAlign w:val="center"/>
          </w:tcPr>
          <w:p>
            <w:pPr>
              <w:spacing w:line="400" w:lineRule="exact"/>
              <w:jc w:val="center"/>
              <w:rPr>
                <w:rFonts w:hint="default" w:ascii="宋体" w:hAnsi="宋体" w:eastAsia="宋体"/>
                <w:b/>
                <w:szCs w:val="24"/>
                <w:lang w:val="en-US" w:eastAsia="zh-CN"/>
              </w:rPr>
            </w:pPr>
            <w:r>
              <w:rPr>
                <w:rFonts w:hint="eastAsia" w:ascii="宋体" w:hAnsi="宋体"/>
                <w:b/>
                <w:szCs w:val="24"/>
                <w:lang w:val="en-US" w:eastAsia="zh-CN"/>
              </w:rPr>
              <w:t>10</w:t>
            </w:r>
          </w:p>
        </w:tc>
        <w:tc>
          <w:tcPr>
            <w:tcW w:w="542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第一档，团队配置合理，团队人员具有相关专业资质占比不低于70%，专业性强，经验丰富，每增加一名具备专业资质人员，加1分。得7-10分；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    第二档，团队配置较为合理，团队人员具有相关专业资质占比不低于40%，专业性较强，经验较丰富，每增加一名具备专业资质人员，加1分。得4-6.5分；</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第三档，团队配置构成基本合理、专业性欠缺或低于其他供应商的，得0-3.5分。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861" w:type="dxa"/>
            <w:gridSpan w:val="2"/>
            <w:vAlign w:val="center"/>
          </w:tcPr>
          <w:p>
            <w:pPr>
              <w:spacing w:line="400" w:lineRule="exact"/>
              <w:jc w:val="center"/>
              <w:rPr>
                <w:rFonts w:ascii="宋体" w:hAnsi="宋体"/>
                <w:b/>
                <w:szCs w:val="24"/>
              </w:rPr>
            </w:pPr>
            <w:r>
              <w:rPr>
                <w:rFonts w:hint="eastAsia" w:ascii="宋体" w:hAnsi="宋体"/>
                <w:b/>
                <w:szCs w:val="24"/>
              </w:rPr>
              <w:t>合计</w:t>
            </w:r>
          </w:p>
        </w:tc>
        <w:tc>
          <w:tcPr>
            <w:tcW w:w="954" w:type="dxa"/>
            <w:vAlign w:val="center"/>
          </w:tcPr>
          <w:p>
            <w:pPr>
              <w:spacing w:line="400" w:lineRule="exact"/>
              <w:jc w:val="center"/>
              <w:rPr>
                <w:rFonts w:ascii="宋体" w:hAnsi="宋体"/>
                <w:b/>
                <w:szCs w:val="24"/>
              </w:rPr>
            </w:pPr>
            <w:r>
              <w:rPr>
                <w:rFonts w:hint="eastAsia" w:ascii="宋体" w:hAnsi="宋体"/>
                <w:b/>
                <w:szCs w:val="24"/>
              </w:rPr>
              <w:t>100</w:t>
            </w:r>
          </w:p>
        </w:tc>
        <w:tc>
          <w:tcPr>
            <w:tcW w:w="5427"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baseline"/>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分档打分的，同档次打分最小分值差为0.5分。</w:t>
            </w:r>
          </w:p>
        </w:tc>
      </w:tr>
    </w:tbl>
    <w:p/>
    <w:sectPr>
      <w:pgSz w:w="11906" w:h="16838"/>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26AD"/>
    <w:rsid w:val="01E63109"/>
    <w:rsid w:val="06DE0669"/>
    <w:rsid w:val="0A5F19D4"/>
    <w:rsid w:val="1291261C"/>
    <w:rsid w:val="198B3FF6"/>
    <w:rsid w:val="1CF84072"/>
    <w:rsid w:val="20DE1FCF"/>
    <w:rsid w:val="21A861E3"/>
    <w:rsid w:val="23D575A0"/>
    <w:rsid w:val="24A866B2"/>
    <w:rsid w:val="24C23BFE"/>
    <w:rsid w:val="2F6F1EAC"/>
    <w:rsid w:val="328A5B17"/>
    <w:rsid w:val="37CD2516"/>
    <w:rsid w:val="3FB369F4"/>
    <w:rsid w:val="406F27E0"/>
    <w:rsid w:val="41164838"/>
    <w:rsid w:val="41826444"/>
    <w:rsid w:val="44E26E32"/>
    <w:rsid w:val="47DD26AD"/>
    <w:rsid w:val="4CD04143"/>
    <w:rsid w:val="4D84170A"/>
    <w:rsid w:val="52643FA2"/>
    <w:rsid w:val="53047E9B"/>
    <w:rsid w:val="55FA0951"/>
    <w:rsid w:val="57682D9F"/>
    <w:rsid w:val="5D7B3EF1"/>
    <w:rsid w:val="5DE53A3A"/>
    <w:rsid w:val="5E454415"/>
    <w:rsid w:val="5F1C38A9"/>
    <w:rsid w:val="6258550E"/>
    <w:rsid w:val="65BE1992"/>
    <w:rsid w:val="69D83714"/>
    <w:rsid w:val="6F7A1313"/>
    <w:rsid w:val="72D20803"/>
    <w:rsid w:val="7B325231"/>
    <w:rsid w:val="7C6C7EA1"/>
    <w:rsid w:val="7F2F3E8F"/>
    <w:rsid w:val="7FBB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First Indent"/>
    <w:basedOn w:val="2"/>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4">
    <w:name w:val="Body Text Indent"/>
    <w:basedOn w:val="1"/>
    <w:qFormat/>
    <w:uiPriority w:val="0"/>
    <w:pPr>
      <w:spacing w:after="120" w:afterLines="0" w:afterAutospacing="0"/>
      <w:ind w:left="420" w:leftChars="200"/>
    </w:pPr>
  </w:style>
  <w:style w:type="paragraph" w:styleId="5">
    <w:name w:val="Body Text First Indent 2"/>
    <w:basedOn w:val="4"/>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 w:type="paragraph" w:styleId="6">
    <w:name w:val="toc 2"/>
    <w:basedOn w:val="1"/>
    <w:next w:val="1"/>
    <w:qFormat/>
    <w:uiPriority w:val="0"/>
    <w:pPr>
      <w:tabs>
        <w:tab w:val="right" w:leader="dot" w:pos="8280"/>
      </w:tabs>
      <w:ind w:right="47" w:rightChars="47"/>
    </w:p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bjh-p"/>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沈义</dc:creator>
  <cp:lastModifiedBy>D,先生</cp:lastModifiedBy>
  <cp:lastPrinted>2021-10-11T08:25:56Z</cp:lastPrinted>
  <dcterms:modified xsi:type="dcterms:W3CDTF">2021-10-11T08:59:06Z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