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河北博物院导视图折页制作项目</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评审标准</w:t>
      </w:r>
    </w:p>
    <w:tbl>
      <w:tblPr>
        <w:tblStyle w:val="7"/>
        <w:tblpPr w:leftFromText="180" w:rightFromText="180" w:vertAnchor="text" w:horzAnchor="page" w:tblpX="1489" w:tblpY="759"/>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zCs w:val="24"/>
              </w:rPr>
            </w:pPr>
            <w:r>
              <w:rPr>
                <w:rFonts w:hint="eastAsia" w:ascii="宋体" w:hAnsi="宋体"/>
                <w:b/>
                <w:szCs w:val="24"/>
              </w:rPr>
              <w:t>类别</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zCs w:val="24"/>
              </w:rPr>
            </w:pPr>
            <w:r>
              <w:rPr>
                <w:rFonts w:hint="eastAsia" w:ascii="宋体" w:hAnsi="宋体"/>
                <w:b/>
                <w:szCs w:val="24"/>
              </w:rPr>
              <w:t>评审项目</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pacing w:val="-8"/>
                <w:szCs w:val="24"/>
              </w:rPr>
            </w:pPr>
            <w:r>
              <w:rPr>
                <w:rFonts w:hint="eastAsia" w:ascii="宋体" w:hAnsi="宋体"/>
                <w:b/>
                <w:spacing w:val="-8"/>
                <w:szCs w:val="24"/>
              </w:rPr>
              <w:t>标准分</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20（保留1位小数点，第2位四舍五入，下同）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25分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不能实质性满足重要商务要求的</w:t>
            </w:r>
            <w:r>
              <w:rPr>
                <w:rFonts w:hint="eastAsia" w:ascii="宋体" w:hAnsi="宋体"/>
                <w:sz w:val="22"/>
                <w:szCs w:val="22"/>
                <w:lang w:eastAsia="zh-CN"/>
              </w:rPr>
              <w:t>为</w:t>
            </w:r>
            <w:r>
              <w:rPr>
                <w:rFonts w:hint="eastAsia" w:ascii="宋体" w:hAnsi="宋体"/>
                <w:sz w:val="22"/>
                <w:szCs w:val="22"/>
              </w:rPr>
              <w:t>无效</w:t>
            </w:r>
            <w:r>
              <w:rPr>
                <w:rFonts w:hint="eastAsia" w:ascii="宋体" w:hAnsi="宋体"/>
                <w:sz w:val="22"/>
                <w:szCs w:val="22"/>
                <w:lang w:eastAsia="zh-CN"/>
              </w:rPr>
              <w:t>响应</w:t>
            </w:r>
            <w:r>
              <w:rPr>
                <w:rFonts w:hint="eastAsia" w:ascii="宋体" w:hAnsi="宋体"/>
                <w:sz w:val="22"/>
                <w:szCs w:val="22"/>
              </w:rPr>
              <w:t>。在满足重要商务</w:t>
            </w:r>
            <w:r>
              <w:rPr>
                <w:rFonts w:hint="eastAsia" w:ascii="宋体" w:hAnsi="宋体"/>
                <w:sz w:val="22"/>
                <w:szCs w:val="22"/>
                <w:lang w:eastAsia="zh-CN"/>
              </w:rPr>
              <w:t>要求</w:t>
            </w:r>
            <w:r>
              <w:rPr>
                <w:rFonts w:hint="eastAsia" w:ascii="宋体" w:hAnsi="宋体"/>
                <w:sz w:val="22"/>
                <w:szCs w:val="22"/>
              </w:rPr>
              <w:t>的基础上，对</w:t>
            </w:r>
            <w:r>
              <w:rPr>
                <w:rFonts w:hint="eastAsia" w:ascii="宋体" w:hAnsi="宋体"/>
                <w:sz w:val="22"/>
                <w:szCs w:val="22"/>
                <w:lang w:eastAsia="zh-CN"/>
              </w:rPr>
              <w:t>供应商的</w:t>
            </w:r>
            <w:r>
              <w:rPr>
                <w:rFonts w:hint="eastAsia" w:ascii="宋体" w:hAnsi="宋体"/>
                <w:sz w:val="22"/>
                <w:szCs w:val="22"/>
              </w:rPr>
              <w:t>商务</w:t>
            </w:r>
            <w:r>
              <w:rPr>
                <w:rFonts w:hint="eastAsia" w:ascii="宋体" w:hAnsi="宋体"/>
                <w:sz w:val="22"/>
                <w:szCs w:val="22"/>
                <w:lang w:eastAsia="zh-CN"/>
              </w:rPr>
              <w:t>要求</w:t>
            </w:r>
            <w:r>
              <w:rPr>
                <w:rFonts w:hint="eastAsia" w:ascii="宋体" w:hAnsi="宋体"/>
                <w:sz w:val="22"/>
                <w:szCs w:val="22"/>
              </w:rPr>
              <w:t>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3.1</w:t>
            </w: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1.6</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，得0-</w:t>
            </w:r>
            <w:r>
              <w:rPr>
                <w:rFonts w:hint="eastAsia" w:ascii="宋体" w:hAnsi="宋体"/>
                <w:sz w:val="22"/>
                <w:szCs w:val="22"/>
                <w:lang w:val="en-US" w:eastAsia="zh-CN"/>
              </w:rPr>
              <w:t>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cs="Times New Roman"/>
                <w:b/>
                <w:szCs w:val="24"/>
                <w:lang w:val="en-US" w:eastAsia="zh-CN"/>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val="en-US" w:eastAsia="zh-CN"/>
              </w:rPr>
              <w:t>供应商提供近两年内同类项目的合同扫描件。每提交1个得1分，此项最高得5分。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售后服务及体系</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w:t>
            </w:r>
            <w:r>
              <w:rPr>
                <w:rFonts w:hint="eastAsia" w:ascii="宋体" w:hAnsi="宋体"/>
                <w:sz w:val="22"/>
                <w:szCs w:val="22"/>
              </w:rPr>
              <w:t>的售后服务、技术支持能力与承诺优劣进行综合比较评价：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第一档，售后服务保障体系及措施完善，技术支持能力强，服务响应快，响应程度高或优于采购需求的，得</w:t>
            </w:r>
            <w:r>
              <w:rPr>
                <w:rFonts w:hint="eastAsia" w:ascii="宋体" w:hAnsi="宋体"/>
                <w:sz w:val="22"/>
                <w:szCs w:val="22"/>
                <w:lang w:val="en-US" w:eastAsia="zh-CN"/>
              </w:rPr>
              <w:t>7.1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第二档，售后服务保障体系及多措施较好，技术支持能力较强，服务响应较快，满足采购需求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4.1</w:t>
            </w:r>
            <w:r>
              <w:rPr>
                <w:rFonts w:hint="eastAsia" w:ascii="宋体" w:hAnsi="宋体"/>
                <w:sz w:val="22"/>
                <w:szCs w:val="22"/>
              </w:rPr>
              <w:t>-</w:t>
            </w:r>
            <w:r>
              <w:rPr>
                <w:rFonts w:hint="eastAsia" w:ascii="宋体" w:hAnsi="宋体"/>
                <w:sz w:val="22"/>
                <w:szCs w:val="22"/>
                <w:lang w:val="en-US" w:eastAsia="zh-CN"/>
              </w:rPr>
              <w:t>7</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第三档，售后服务保障体系及措施基本符合招标要求，但技术支持能力和服务响应速度较差或一般</w:t>
            </w:r>
            <w:r>
              <w:rPr>
                <w:rFonts w:hint="eastAsia" w:ascii="宋体" w:hAnsi="宋体"/>
                <w:sz w:val="22"/>
                <w:szCs w:val="22"/>
                <w:lang w:eastAsia="zh-CN"/>
              </w:rPr>
              <w:t>的</w:t>
            </w:r>
            <w:r>
              <w:rPr>
                <w:rFonts w:hint="eastAsia" w:ascii="宋体" w:hAnsi="宋体"/>
                <w:sz w:val="22"/>
                <w:szCs w:val="22"/>
              </w:rPr>
              <w:t>，得0-</w:t>
            </w:r>
            <w:r>
              <w:rPr>
                <w:rFonts w:hint="eastAsia" w:ascii="宋体" w:hAnsi="宋体"/>
                <w:sz w:val="22"/>
                <w:szCs w:val="22"/>
                <w:lang w:val="en-US" w:eastAsia="zh-CN"/>
              </w:rPr>
              <w:t>4</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（共55分）</w:t>
            </w: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rPr>
              <w:t>技术</w:t>
            </w:r>
            <w:r>
              <w:rPr>
                <w:rFonts w:hint="eastAsia" w:ascii="宋体" w:hAnsi="宋体"/>
                <w:b/>
                <w:sz w:val="22"/>
                <w:szCs w:val="22"/>
                <w:lang w:eastAsia="zh-CN"/>
              </w:rPr>
              <w:t>参数</w:t>
            </w:r>
            <w:r>
              <w:rPr>
                <w:rFonts w:hint="eastAsia" w:ascii="宋体" w:hAnsi="宋体"/>
                <w:b/>
                <w:sz w:val="22"/>
                <w:szCs w:val="22"/>
              </w:rPr>
              <w:t>响应情况</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eastAsia="宋体"/>
                <w:b/>
                <w:color w:val="00B050"/>
                <w:szCs w:val="24"/>
                <w:lang w:val="en-US" w:eastAsia="zh-CN"/>
              </w:rPr>
            </w:pPr>
            <w:r>
              <w:rPr>
                <w:rFonts w:hint="eastAsia" w:ascii="宋体" w:hAnsi="宋体"/>
                <w:b/>
                <w:sz w:val="22"/>
                <w:szCs w:val="22"/>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不能实质性满足重要技术参数要求的为无效响应。在满足重要技术参数要求的基础上，对供应商的技术参数响应程度进行综合比较评价：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第一档，响应全面，描述完备、细致，完全满足且部分优于采购需求的，得</w:t>
            </w:r>
            <w:r>
              <w:rPr>
                <w:rFonts w:hint="eastAsia" w:ascii="宋体" w:hAnsi="宋体"/>
                <w:sz w:val="22"/>
                <w:szCs w:val="22"/>
                <w:lang w:val="en-US" w:eastAsia="zh-CN"/>
              </w:rPr>
              <w:t>7.1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eastAsia="宋体" w:cs="Times New Roman"/>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第二档，响应较全面、细致，满足采购需求的，得</w:t>
            </w:r>
            <w:r>
              <w:rPr>
                <w:rFonts w:hint="eastAsia" w:ascii="宋体" w:hAnsi="宋体"/>
                <w:sz w:val="22"/>
                <w:szCs w:val="22"/>
                <w:lang w:val="en-US" w:eastAsia="zh-CN"/>
              </w:rPr>
              <w:t>4.1</w:t>
            </w:r>
            <w:r>
              <w:rPr>
                <w:rFonts w:hint="eastAsia" w:ascii="宋体" w:hAnsi="宋体"/>
                <w:sz w:val="22"/>
                <w:szCs w:val="22"/>
              </w:rPr>
              <w:t>-</w:t>
            </w:r>
            <w:r>
              <w:rPr>
                <w:rFonts w:hint="eastAsia" w:ascii="宋体" w:hAnsi="宋体"/>
                <w:sz w:val="22"/>
                <w:szCs w:val="22"/>
                <w:lang w:val="en-US" w:eastAsia="zh-CN"/>
              </w:rPr>
              <w:t>7</w:t>
            </w:r>
            <w:r>
              <w:rPr>
                <w:rFonts w:hint="eastAsia" w:ascii="宋体" w:hAnsi="宋体" w:eastAsia="宋体" w:cs="Times New Roman"/>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第三档，基本响应采购需求，但有缺陷或部分一般指标不满足需求的，得</w:t>
            </w:r>
            <w:r>
              <w:rPr>
                <w:rFonts w:hint="eastAsia" w:ascii="宋体" w:hAnsi="宋体"/>
                <w:sz w:val="22"/>
                <w:szCs w:val="22"/>
              </w:rPr>
              <w:t>0-</w:t>
            </w:r>
            <w:r>
              <w:rPr>
                <w:rFonts w:hint="eastAsia" w:ascii="宋体" w:hAnsi="宋体"/>
                <w:sz w:val="22"/>
                <w:szCs w:val="22"/>
                <w:lang w:val="en-US" w:eastAsia="zh-CN"/>
              </w:rPr>
              <w:t>4</w:t>
            </w:r>
            <w:r>
              <w:rPr>
                <w:rFonts w:hint="eastAsia" w:ascii="宋体" w:hAnsi="宋体" w:eastAsia="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eastAsia="zh-CN"/>
              </w:rPr>
            </w:pPr>
            <w:r>
              <w:rPr>
                <w:rFonts w:hint="eastAsia" w:ascii="宋体" w:hAnsi="宋体"/>
                <w:b/>
                <w:sz w:val="22"/>
                <w:szCs w:val="22"/>
                <w:lang w:eastAsia="zh-CN"/>
              </w:rPr>
              <w:t>样品效果</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 w:val="22"/>
                <w:szCs w:val="22"/>
                <w:lang w:val="en-US" w:eastAsia="zh-CN"/>
              </w:rPr>
            </w:pPr>
            <w:r>
              <w:rPr>
                <w:rFonts w:hint="eastAsia" w:ascii="宋体" w:hAnsi="宋体"/>
                <w:b/>
                <w:sz w:val="22"/>
                <w:szCs w:val="22"/>
                <w:lang w:val="en-US" w:eastAsia="zh-CN"/>
              </w:rPr>
              <w:t>30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w:t>
            </w:r>
            <w:r>
              <w:rPr>
                <w:rFonts w:hint="eastAsia" w:ascii="宋体" w:hAnsi="宋体"/>
                <w:sz w:val="22"/>
                <w:szCs w:val="22"/>
              </w:rPr>
              <w:t>的</w:t>
            </w:r>
            <w:r>
              <w:rPr>
                <w:rFonts w:hint="eastAsia" w:ascii="宋体" w:hAnsi="宋体"/>
                <w:sz w:val="22"/>
                <w:szCs w:val="22"/>
                <w:lang w:eastAsia="zh-CN"/>
              </w:rPr>
              <w:t>实际样品</w:t>
            </w:r>
            <w:r>
              <w:rPr>
                <w:rFonts w:hint="eastAsia" w:ascii="宋体" w:hAnsi="宋体"/>
                <w:sz w:val="22"/>
                <w:szCs w:val="22"/>
              </w:rPr>
              <w:t>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w:t>
            </w:r>
            <w:r>
              <w:rPr>
                <w:rFonts w:hint="eastAsia" w:ascii="宋体" w:hAnsi="宋体"/>
                <w:sz w:val="22"/>
                <w:szCs w:val="22"/>
                <w:lang w:eastAsia="zh-CN"/>
              </w:rPr>
              <w:t>样品效果达到或超过要求的</w:t>
            </w:r>
            <w:r>
              <w:rPr>
                <w:rFonts w:hint="eastAsia" w:ascii="宋体" w:hAnsi="宋体"/>
                <w:sz w:val="22"/>
                <w:szCs w:val="22"/>
              </w:rPr>
              <w:t>得</w:t>
            </w:r>
            <w:r>
              <w:rPr>
                <w:rFonts w:hint="eastAsia" w:ascii="宋体" w:hAnsi="宋体"/>
                <w:sz w:val="22"/>
                <w:szCs w:val="22"/>
                <w:lang w:val="en-US" w:eastAsia="zh-CN"/>
              </w:rPr>
              <w:t>20.1</w:t>
            </w:r>
            <w:r>
              <w:rPr>
                <w:rFonts w:hint="eastAsia" w:ascii="宋体" w:hAnsi="宋体"/>
                <w:sz w:val="22"/>
                <w:szCs w:val="22"/>
              </w:rPr>
              <w:t>-</w:t>
            </w:r>
            <w:r>
              <w:rPr>
                <w:rFonts w:hint="eastAsia" w:ascii="宋体" w:hAnsi="宋体"/>
                <w:sz w:val="22"/>
                <w:szCs w:val="22"/>
                <w:lang w:val="en-US" w:eastAsia="zh-CN"/>
              </w:rPr>
              <w:t>30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第二档，</w:t>
            </w:r>
            <w:r>
              <w:rPr>
                <w:rFonts w:hint="eastAsia" w:ascii="宋体" w:hAnsi="宋体"/>
                <w:sz w:val="22"/>
                <w:szCs w:val="22"/>
                <w:lang w:eastAsia="zh-CN"/>
              </w:rPr>
              <w:t>样品效果基本达到要求的，</w:t>
            </w:r>
            <w:r>
              <w:rPr>
                <w:rFonts w:hint="eastAsia" w:ascii="宋体" w:hAnsi="宋体" w:eastAsia="宋体" w:cs="Times New Roman"/>
                <w:sz w:val="22"/>
                <w:szCs w:val="22"/>
              </w:rPr>
              <w:t>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20</w:t>
            </w:r>
            <w:r>
              <w:rPr>
                <w:rFonts w:hint="eastAsia" w:ascii="宋体" w:hAnsi="宋体" w:eastAsia="宋体" w:cs="Times New Roman"/>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sz w:val="22"/>
                <w:szCs w:val="22"/>
              </w:rPr>
            </w:pPr>
            <w:r>
              <w:rPr>
                <w:rFonts w:hint="eastAsia" w:ascii="宋体" w:hAnsi="宋体"/>
                <w:sz w:val="22"/>
                <w:szCs w:val="22"/>
              </w:rPr>
              <w:t>第三档，</w:t>
            </w:r>
            <w:r>
              <w:rPr>
                <w:rFonts w:hint="eastAsia" w:ascii="宋体" w:hAnsi="宋体"/>
                <w:sz w:val="22"/>
                <w:szCs w:val="22"/>
                <w:lang w:eastAsia="zh-CN"/>
              </w:rPr>
              <w:t>样品效果不符合要求的，</w:t>
            </w:r>
            <w:r>
              <w:rPr>
                <w:rFonts w:hint="eastAsia" w:ascii="宋体" w:hAnsi="宋体"/>
                <w:sz w:val="22"/>
                <w:szCs w:val="22"/>
              </w:rPr>
              <w:t>得0-</w:t>
            </w:r>
            <w:r>
              <w:rPr>
                <w:rFonts w:hint="eastAsia" w:ascii="宋体" w:hAnsi="宋体"/>
                <w:sz w:val="22"/>
                <w:szCs w:val="22"/>
                <w:lang w:val="en-US" w:eastAsia="zh-CN"/>
              </w:rPr>
              <w:t>10</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实施方案</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供应商提供的项目实施方案进行评价</w:t>
            </w:r>
            <w:r>
              <w:rPr>
                <w:rFonts w:hint="eastAsia"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w:t>
            </w:r>
            <w:r>
              <w:rPr>
                <w:rFonts w:hint="eastAsia" w:ascii="宋体" w:hAnsi="宋体"/>
                <w:sz w:val="22"/>
                <w:szCs w:val="22"/>
                <w:lang w:eastAsia="zh-CN"/>
              </w:rPr>
              <w:t>项目实施方案安排科学、保障措施完善有力的</w:t>
            </w:r>
            <w:r>
              <w:rPr>
                <w:rFonts w:hint="eastAsia" w:ascii="宋体" w:hAnsi="宋体"/>
                <w:sz w:val="22"/>
                <w:szCs w:val="22"/>
              </w:rPr>
              <w:t>，得</w:t>
            </w:r>
            <w:r>
              <w:rPr>
                <w:rFonts w:hint="eastAsia" w:ascii="宋体" w:hAnsi="宋体"/>
                <w:sz w:val="22"/>
                <w:szCs w:val="22"/>
                <w:lang w:val="en-US" w:eastAsia="zh-CN"/>
              </w:rPr>
              <w:t>7.1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w:t>
            </w:r>
            <w:r>
              <w:rPr>
                <w:rFonts w:hint="eastAsia" w:ascii="宋体" w:hAnsi="宋体"/>
                <w:sz w:val="22"/>
                <w:szCs w:val="22"/>
                <w:lang w:eastAsia="zh-CN"/>
              </w:rPr>
              <w:t>项目实施方案安排较科学、保障措施较完善有力的</w:t>
            </w:r>
            <w:r>
              <w:rPr>
                <w:rFonts w:hint="eastAsia" w:ascii="宋体" w:hAnsi="宋体"/>
                <w:sz w:val="22"/>
                <w:szCs w:val="22"/>
              </w:rPr>
              <w:t>， 得</w:t>
            </w:r>
            <w:r>
              <w:rPr>
                <w:rFonts w:hint="eastAsia" w:ascii="宋体" w:hAnsi="宋体"/>
                <w:sz w:val="22"/>
                <w:szCs w:val="22"/>
                <w:lang w:val="en-US" w:eastAsia="zh-CN"/>
              </w:rPr>
              <w:t>4.1</w:t>
            </w:r>
            <w:r>
              <w:rPr>
                <w:rFonts w:hint="eastAsia" w:ascii="宋体" w:hAnsi="宋体"/>
                <w:sz w:val="22"/>
                <w:szCs w:val="22"/>
              </w:rPr>
              <w:t>-</w:t>
            </w:r>
            <w:r>
              <w:rPr>
                <w:rFonts w:hint="eastAsia" w:ascii="宋体" w:hAnsi="宋体"/>
                <w:sz w:val="22"/>
                <w:szCs w:val="22"/>
                <w:lang w:val="en-US" w:eastAsia="zh-CN"/>
              </w:rPr>
              <w:t>7</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w:t>
            </w:r>
            <w:r>
              <w:rPr>
                <w:rFonts w:hint="eastAsia" w:ascii="宋体" w:hAnsi="宋体"/>
                <w:sz w:val="22"/>
                <w:szCs w:val="22"/>
                <w:lang w:eastAsia="zh-CN"/>
              </w:rPr>
              <w:t>项目实施方案安排一般、保障措施一般的</w:t>
            </w:r>
            <w:r>
              <w:rPr>
                <w:rFonts w:hint="eastAsia" w:ascii="宋体" w:hAnsi="宋体"/>
                <w:sz w:val="22"/>
                <w:szCs w:val="22"/>
              </w:rPr>
              <w:t>，得0-</w:t>
            </w:r>
            <w:r>
              <w:rPr>
                <w:rFonts w:hint="eastAsia" w:ascii="宋体" w:hAnsi="宋体"/>
                <w:sz w:val="22"/>
                <w:szCs w:val="22"/>
                <w:lang w:val="en-US" w:eastAsia="zh-CN"/>
              </w:rPr>
              <w:t>4</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企业资质</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对供应商的资质情况、管理制度等进行评价：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第一档，资质完备，在公司管理、服务管理、财务管理、制度规</w:t>
            </w:r>
            <w:bookmarkStart w:id="0" w:name="_GoBack"/>
            <w:bookmarkEnd w:id="0"/>
            <w:r>
              <w:rPr>
                <w:rFonts w:hint="eastAsia" w:ascii="宋体" w:hAnsi="宋体"/>
                <w:sz w:val="22"/>
                <w:szCs w:val="22"/>
              </w:rPr>
              <w:t>范等方面优于其他供应商的，得</w:t>
            </w:r>
            <w:r>
              <w:rPr>
                <w:rFonts w:hint="eastAsia" w:ascii="宋体" w:hAnsi="宋体"/>
                <w:sz w:val="22"/>
                <w:szCs w:val="22"/>
                <w:lang w:val="en-US" w:eastAsia="zh-CN"/>
              </w:rPr>
              <w:t>3.1-5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第二档，资质较完备，公司管理、服务管理、财务管理、制度规范等方面可行、合理的，得</w:t>
            </w:r>
            <w:r>
              <w:rPr>
                <w:rFonts w:hint="eastAsia" w:ascii="宋体" w:hAnsi="宋体"/>
                <w:sz w:val="22"/>
                <w:szCs w:val="22"/>
                <w:lang w:val="en-US" w:eastAsia="zh-CN"/>
              </w:rPr>
              <w:t>1.6-3</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第三档，资质一般，公司管理、服务管理、财务管理、制度规范等方面一般的，得</w:t>
            </w:r>
            <w:r>
              <w:rPr>
                <w:rFonts w:hint="eastAsia" w:ascii="宋体" w:hAnsi="宋体"/>
                <w:sz w:val="22"/>
                <w:szCs w:val="22"/>
                <w:lang w:val="en-US" w:eastAsia="zh-CN"/>
              </w:rPr>
              <w:t>0-1.5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ascii="宋体" w:hAnsi="宋体"/>
                <w:b/>
                <w:szCs w:val="24"/>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cs="Times New Roman"/>
                <w:b/>
                <w:szCs w:val="24"/>
                <w:lang w:val="en-US" w:eastAsia="zh-CN"/>
              </w:rPr>
              <w:t>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eastAsia="zh-CN"/>
              </w:rPr>
            </w:pPr>
            <w:r>
              <w:rPr>
                <w:rFonts w:hint="eastAsia" w:ascii="宋体" w:hAnsi="宋体"/>
                <w:sz w:val="22"/>
                <w:szCs w:val="22"/>
                <w:lang w:eastAsia="zh-CN"/>
              </w:rPr>
              <w:t>根据所供应商提供的项目实施团队的组织结构和人员配备优劣进行比较：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eastAsia="zh-CN"/>
              </w:rPr>
            </w:pPr>
            <w:r>
              <w:rPr>
                <w:rFonts w:hint="eastAsia" w:ascii="宋体" w:hAnsi="宋体"/>
                <w:sz w:val="22"/>
                <w:szCs w:val="22"/>
                <w:lang w:eastAsia="zh-CN"/>
              </w:rPr>
              <w:t>第一档，组织机构完善、合理，团队人员专业性强、经验丰富，符合项目特点的，得</w:t>
            </w:r>
            <w:r>
              <w:rPr>
                <w:rFonts w:hint="eastAsia" w:ascii="宋体" w:hAnsi="宋体"/>
                <w:sz w:val="22"/>
                <w:szCs w:val="22"/>
                <w:lang w:val="en-US" w:eastAsia="zh-CN"/>
              </w:rPr>
              <w:t>3.1-5分；</w:t>
            </w:r>
            <w:r>
              <w:rPr>
                <w:rFonts w:hint="eastAsia" w:ascii="宋体" w:hAnsi="宋体"/>
                <w:sz w:val="22"/>
                <w:szCs w:val="22"/>
                <w:lang w:val="en-US" w:eastAsia="zh-CN"/>
              </w:rPr>
              <w:br w:type="textWrapping"/>
            </w:r>
            <w:r>
              <w:rPr>
                <w:rFonts w:hint="eastAsia" w:ascii="宋体" w:hAnsi="宋体"/>
                <w:sz w:val="22"/>
                <w:szCs w:val="22"/>
                <w:lang w:val="en-US" w:eastAsia="zh-CN"/>
              </w:rPr>
              <w:t xml:space="preserve">    </w:t>
            </w:r>
            <w:r>
              <w:rPr>
                <w:rFonts w:hint="eastAsia" w:ascii="宋体" w:hAnsi="宋体"/>
                <w:sz w:val="22"/>
                <w:szCs w:val="22"/>
                <w:lang w:eastAsia="zh-CN"/>
              </w:rPr>
              <w:t>第二档，组织机构较为完善，团队人员专业性较强、经验较丰富，基本符合项目特点的，得</w:t>
            </w:r>
            <w:r>
              <w:rPr>
                <w:rFonts w:hint="eastAsia" w:ascii="宋体" w:hAnsi="宋体"/>
                <w:sz w:val="22"/>
                <w:szCs w:val="22"/>
                <w:lang w:val="en-US" w:eastAsia="zh-CN"/>
              </w:rPr>
              <w:t>1.6-3</w:t>
            </w:r>
            <w:r>
              <w:rPr>
                <w:rFonts w:hint="eastAsia" w:ascii="宋体" w:hAnsi="宋体"/>
                <w:sz w:val="22"/>
                <w:szCs w:val="22"/>
                <w:lang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eastAsia="zh-CN"/>
              </w:rPr>
              <w:t>第三档，组织人员构成基本合理、专业性欠缺或低于其他供应商的，得</w:t>
            </w:r>
            <w:r>
              <w:rPr>
                <w:rFonts w:hint="eastAsia" w:ascii="宋体" w:hAnsi="宋体"/>
                <w:sz w:val="22"/>
                <w:szCs w:val="22"/>
                <w:lang w:val="en-US" w:eastAsia="zh-CN"/>
              </w:rPr>
              <w:t>0-1.5</w:t>
            </w:r>
            <w:r>
              <w:rPr>
                <w:rFonts w:hint="eastAsia" w:ascii="宋体" w:hAnsi="宋体"/>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57"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分档打分的，同档次打分最小分值差为0.</w:t>
            </w:r>
            <w:r>
              <w:rPr>
                <w:rFonts w:hint="eastAsia" w:ascii="宋体" w:hAnsi="宋体"/>
                <w:sz w:val="22"/>
                <w:szCs w:val="22"/>
                <w:lang w:val="en-US" w:eastAsia="zh-CN"/>
              </w:rPr>
              <w:t>1</w:t>
            </w:r>
            <w:r>
              <w:rPr>
                <w:rFonts w:hint="eastAsia" w:ascii="宋体" w:hAnsi="宋体"/>
                <w:sz w:val="22"/>
                <w:szCs w:val="22"/>
              </w:rPr>
              <w:t>分</w:t>
            </w:r>
          </w:p>
        </w:tc>
      </w:tr>
    </w:tbl>
    <w:p/>
    <w:sectPr>
      <w:pgSz w:w="11906" w:h="16838"/>
      <w:pgMar w:top="1803" w:right="1440" w:bottom="1803"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009072B"/>
    <w:rsid w:val="00AF059E"/>
    <w:rsid w:val="01E63109"/>
    <w:rsid w:val="03524C30"/>
    <w:rsid w:val="0D943527"/>
    <w:rsid w:val="0E7C659D"/>
    <w:rsid w:val="13AC3D9B"/>
    <w:rsid w:val="143B31D5"/>
    <w:rsid w:val="1FC579BF"/>
    <w:rsid w:val="23D575A0"/>
    <w:rsid w:val="24A866B2"/>
    <w:rsid w:val="33A038AA"/>
    <w:rsid w:val="36920C4E"/>
    <w:rsid w:val="372D1743"/>
    <w:rsid w:val="3FB369F4"/>
    <w:rsid w:val="41463C25"/>
    <w:rsid w:val="41CB7ABD"/>
    <w:rsid w:val="46CC295B"/>
    <w:rsid w:val="4779568A"/>
    <w:rsid w:val="47DD26AD"/>
    <w:rsid w:val="4F0B0617"/>
    <w:rsid w:val="53EC2C0A"/>
    <w:rsid w:val="55FA0951"/>
    <w:rsid w:val="57682D9F"/>
    <w:rsid w:val="57D55A2E"/>
    <w:rsid w:val="59FD470C"/>
    <w:rsid w:val="5DD30645"/>
    <w:rsid w:val="5DE53A3A"/>
    <w:rsid w:val="5E9F2AE6"/>
    <w:rsid w:val="5F712372"/>
    <w:rsid w:val="601C5D9D"/>
    <w:rsid w:val="601E27DB"/>
    <w:rsid w:val="69D83714"/>
    <w:rsid w:val="6B58643D"/>
    <w:rsid w:val="6BEE3CEA"/>
    <w:rsid w:val="6C0625DF"/>
    <w:rsid w:val="73B71EB7"/>
    <w:rsid w:val="7AA03266"/>
    <w:rsid w:val="7B325231"/>
    <w:rsid w:val="7C02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5">
    <w:name w:val="Body Text Indent"/>
    <w:basedOn w:val="1"/>
    <w:qFormat/>
    <w:uiPriority w:val="0"/>
    <w:pPr>
      <w:spacing w:after="120"/>
      <w:ind w:left="420" w:leftChars="200"/>
    </w:pPr>
  </w:style>
  <w:style w:type="paragraph" w:styleId="6">
    <w:name w:val="Body Text First Indent 2"/>
    <w:basedOn w:val="5"/>
    <w:next w:val="1"/>
    <w:qFormat/>
    <w:uiPriority w:val="0"/>
    <w:pPr>
      <w:keepNext/>
      <w:keepLines/>
      <w:spacing w:after="0" w:line="560" w:lineRule="exact"/>
      <w:ind w:left="0" w:leftChars="0" w:firstLine="480"/>
      <w:outlineLvl w:val="3"/>
    </w:pPr>
    <w:rPr>
      <w:rFonts w:eastAsia="仿宋_GB2312"/>
      <w:bCs/>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973</Words>
  <Characters>123</Characters>
  <Lines>1</Lines>
  <Paragraphs>2</Paragraphs>
  <TotalTime>22</TotalTime>
  <ScaleCrop>false</ScaleCrop>
  <LinksUpToDate>false</LinksUpToDate>
  <CharactersWithSpaces>1094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起个好听的名字</cp:lastModifiedBy>
  <dcterms:modified xsi:type="dcterms:W3CDTF">2021-10-12T08:06:21Z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B38FF94097D243618F50DEE11E594380</vt:lpwstr>
  </property>
</Properties>
</file>