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both"/>
        <w:textAlignment w:val="baseline"/>
        <w:outlineLvl w:val="9"/>
        <w:rPr>
          <w:rFonts w:hint="eastAsia" w:ascii="Arial" w:hAnsi="Arial" w:eastAsia="方正小标宋简体" w:cs="Arial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河北博物院《从石库门到天安门——庆祝中国共产党成立100周年特展》展览施工项目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评审标准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50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</w:pPr>
            <w:r>
              <w:rPr>
                <w:rFonts w:hint="eastAsia"/>
                <w:lang w:val="en-US" w:eastAsia="zh-CN"/>
              </w:rPr>
              <w:t>供应商需提交近三年内，具有展览设计施工的案例，须提交相应图文资料及合同。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1个省级及以上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博物馆、纪念馆、展览馆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展览设计施工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1个市级及以下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博物馆、纪念馆、展览馆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展览设计施工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根据供应商的售后服务、技术支持能力与承诺优劣进行综合比较评价，分三档进行打分。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妥善安排各项施工人员的进场流程，按照要求及时更新设计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及时处理问题的，得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7-10</w:t>
            </w:r>
            <w:r>
              <w:rPr>
                <w:rFonts w:hint="eastAsia" w:ascii="宋体" w:hAnsi="宋体" w:eastAsia="宋体" w:cs="宋体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第二档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积极配合，但处理不够及时的</w:t>
            </w:r>
            <w:r>
              <w:rPr>
                <w:rFonts w:hint="eastAsia" w:ascii="宋体" w:hAnsi="宋体" w:eastAsia="宋体" w:cs="宋体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3-6.5</w:t>
            </w:r>
            <w:r>
              <w:rPr>
                <w:rFonts w:hint="eastAsia" w:ascii="宋体" w:hAnsi="宋体" w:eastAsia="宋体" w:cs="宋体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第三档：不能够主动的提供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（共30分）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第一档，施工材料符合项目要求，具备专业的加工设备和工具；能在规定时间内完成各项布展、撤展工作；写真喷绘色彩精准；能依照设计方案进行各项目的制作的，得10-15分。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第二档，施工材料基本符合要求，能基本保证施工中各项目的对接，具有简单加工设备等；写真喷绘色彩基本准确，基本平整的，得5-9.5分。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第三档，加工车间及各项设备工具相对薄弱。得0-4.5分。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7-10分；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团队配置较为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基本符合项目特点的，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分档打分的，同档次打分最小分值差为0.5分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06DE0669"/>
    <w:rsid w:val="1291261C"/>
    <w:rsid w:val="198B3FF6"/>
    <w:rsid w:val="1CF84072"/>
    <w:rsid w:val="20DE1FCF"/>
    <w:rsid w:val="23D575A0"/>
    <w:rsid w:val="24A866B2"/>
    <w:rsid w:val="24C23BFE"/>
    <w:rsid w:val="328A5B17"/>
    <w:rsid w:val="37CD2516"/>
    <w:rsid w:val="3FB369F4"/>
    <w:rsid w:val="41826444"/>
    <w:rsid w:val="44E26E32"/>
    <w:rsid w:val="47DD26AD"/>
    <w:rsid w:val="52643FA2"/>
    <w:rsid w:val="53047E9B"/>
    <w:rsid w:val="55FA0951"/>
    <w:rsid w:val="57682D9F"/>
    <w:rsid w:val="5D7B3EF1"/>
    <w:rsid w:val="5DE53A3A"/>
    <w:rsid w:val="65BE1992"/>
    <w:rsid w:val="69D83714"/>
    <w:rsid w:val="6F7A1313"/>
    <w:rsid w:val="72D20803"/>
    <w:rsid w:val="7B325231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4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沈义</cp:lastModifiedBy>
  <cp:lastPrinted>2021-05-21T03:16:00Z</cp:lastPrinted>
  <dcterms:modified xsi:type="dcterms:W3CDTF">2021-05-25T07:36:59Z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