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240" w:lineRule="auto"/>
        <w:jc w:val="center"/>
        <w:textAlignment w:val="auto"/>
        <w:rPr>
          <w:rFonts w:hint="eastAsia" w:eastAsia="宋体"/>
          <w:b/>
          <w:bCs/>
          <w:kern w:val="2"/>
          <w:sz w:val="32"/>
          <w:szCs w:val="32"/>
          <w:lang w:eastAsia="zh-CN"/>
        </w:rPr>
      </w:pPr>
      <w:r>
        <w:rPr>
          <w:rFonts w:hint="eastAsia" w:eastAsia="宋体"/>
          <w:b/>
          <w:bCs/>
          <w:kern w:val="2"/>
          <w:sz w:val="32"/>
          <w:szCs w:val="32"/>
          <w:lang w:eastAsia="zh-CN"/>
        </w:rPr>
        <w:t>河北博物院《松石间意——重庆中国三峡博物馆藏古琴展》展览施工项目评审标准</w:t>
      </w:r>
    </w:p>
    <w:p>
      <w:pPr>
        <w:pStyle w:val="2"/>
        <w:rPr>
          <w:rFonts w:hint="eastAsia"/>
          <w:lang w:val="en-US" w:eastAsia="zh-CN"/>
        </w:rPr>
      </w:pPr>
    </w:p>
    <w:tbl>
      <w:tblPr>
        <w:tblStyle w:val="9"/>
        <w:tblW w:w="92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1429"/>
        <w:gridCol w:w="953"/>
        <w:gridCol w:w="5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blHeader/>
          <w:jc w:val="center"/>
        </w:trPr>
        <w:tc>
          <w:tcPr>
            <w:tcW w:w="1428" w:type="dxa"/>
            <w:vAlign w:val="center"/>
          </w:tcPr>
          <w:p>
            <w:pPr>
              <w:spacing w:line="400" w:lineRule="exact"/>
              <w:jc w:val="center"/>
              <w:rPr>
                <w:rFonts w:ascii="宋体" w:hAnsi="宋体"/>
                <w:b/>
                <w:szCs w:val="24"/>
              </w:rPr>
            </w:pPr>
            <w:r>
              <w:rPr>
                <w:rFonts w:hint="eastAsia" w:ascii="宋体" w:hAnsi="宋体"/>
                <w:b/>
                <w:szCs w:val="24"/>
              </w:rPr>
              <w:t>类别</w:t>
            </w:r>
          </w:p>
        </w:tc>
        <w:tc>
          <w:tcPr>
            <w:tcW w:w="1429" w:type="dxa"/>
            <w:vAlign w:val="center"/>
          </w:tcPr>
          <w:p>
            <w:pPr>
              <w:spacing w:line="400" w:lineRule="exact"/>
              <w:jc w:val="center"/>
              <w:rPr>
                <w:rFonts w:ascii="宋体" w:hAnsi="宋体"/>
                <w:b/>
                <w:szCs w:val="24"/>
              </w:rPr>
            </w:pPr>
            <w:r>
              <w:rPr>
                <w:rFonts w:hint="eastAsia" w:ascii="宋体" w:hAnsi="宋体"/>
                <w:b/>
                <w:szCs w:val="24"/>
              </w:rPr>
              <w:t>评审项目</w:t>
            </w:r>
          </w:p>
        </w:tc>
        <w:tc>
          <w:tcPr>
            <w:tcW w:w="953" w:type="dxa"/>
            <w:vAlign w:val="center"/>
          </w:tcPr>
          <w:p>
            <w:pPr>
              <w:spacing w:line="400" w:lineRule="exact"/>
              <w:jc w:val="center"/>
              <w:rPr>
                <w:rFonts w:ascii="宋体" w:hAnsi="宋体"/>
                <w:b/>
                <w:spacing w:val="-8"/>
                <w:szCs w:val="24"/>
              </w:rPr>
            </w:pPr>
            <w:r>
              <w:rPr>
                <w:rFonts w:hint="eastAsia" w:ascii="宋体" w:hAnsi="宋体"/>
                <w:b/>
                <w:spacing w:val="-8"/>
                <w:szCs w:val="24"/>
              </w:rPr>
              <w:t>标准分</w:t>
            </w:r>
          </w:p>
        </w:tc>
        <w:tc>
          <w:tcPr>
            <w:tcW w:w="5420" w:type="dxa"/>
            <w:vAlign w:val="center"/>
          </w:tcPr>
          <w:p>
            <w:pPr>
              <w:spacing w:line="400" w:lineRule="exact"/>
              <w:jc w:val="center"/>
              <w:rPr>
                <w:rFonts w:ascii="宋体" w:hAnsi="宋体"/>
                <w:b/>
                <w:szCs w:val="24"/>
              </w:rPr>
            </w:pPr>
            <w:r>
              <w:rPr>
                <w:rFonts w:hint="eastAsia" w:ascii="宋体" w:hAnsi="宋体"/>
                <w:b/>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428" w:type="dxa"/>
            <w:vAlign w:val="center"/>
          </w:tcPr>
          <w:p>
            <w:pPr>
              <w:spacing w:line="400" w:lineRule="exact"/>
              <w:jc w:val="center"/>
              <w:rPr>
                <w:rFonts w:hint="eastAsia" w:ascii="宋体" w:hAnsi="宋体" w:eastAsia="宋体"/>
                <w:b/>
                <w:szCs w:val="24"/>
                <w:lang w:eastAsia="zh-CN"/>
              </w:rPr>
            </w:pPr>
            <w:r>
              <w:rPr>
                <w:rFonts w:hint="eastAsia" w:ascii="宋体" w:hAnsi="宋体"/>
                <w:b/>
                <w:szCs w:val="24"/>
              </w:rPr>
              <w:t>报价</w:t>
            </w:r>
            <w:r>
              <w:rPr>
                <w:rFonts w:hint="eastAsia" w:ascii="宋体" w:hAnsi="宋体"/>
                <w:b/>
                <w:szCs w:val="24"/>
              </w:rPr>
              <w:br w:type="textWrapping"/>
            </w:r>
            <w:r>
              <w:rPr>
                <w:rFonts w:hint="eastAsia" w:ascii="宋体" w:hAnsi="宋体"/>
                <w:b/>
                <w:szCs w:val="24"/>
                <w:lang w:eastAsia="zh-CN"/>
              </w:rPr>
              <w:t>（共</w:t>
            </w:r>
            <w:r>
              <w:rPr>
                <w:rFonts w:hint="eastAsia" w:ascii="宋体" w:hAnsi="宋体"/>
                <w:b/>
                <w:szCs w:val="24"/>
                <w:lang w:val="en-US" w:eastAsia="zh-CN"/>
              </w:rPr>
              <w:t>45分</w:t>
            </w:r>
            <w:r>
              <w:rPr>
                <w:rFonts w:hint="eastAsia" w:ascii="宋体" w:hAnsi="宋体"/>
                <w:b/>
                <w:szCs w:val="24"/>
                <w:lang w:eastAsia="zh-CN"/>
              </w:rPr>
              <w:t>）</w:t>
            </w:r>
          </w:p>
        </w:tc>
        <w:tc>
          <w:tcPr>
            <w:tcW w:w="1429" w:type="dxa"/>
            <w:vAlign w:val="center"/>
          </w:tcPr>
          <w:p>
            <w:pPr>
              <w:spacing w:line="400" w:lineRule="exact"/>
              <w:jc w:val="center"/>
              <w:rPr>
                <w:rFonts w:ascii="宋体" w:hAnsi="宋体"/>
                <w:b/>
                <w:szCs w:val="24"/>
              </w:rPr>
            </w:pPr>
            <w:r>
              <w:rPr>
                <w:rFonts w:hint="eastAsia" w:ascii="宋体" w:hAnsi="宋体"/>
                <w:b/>
                <w:szCs w:val="24"/>
              </w:rPr>
              <w:t>报价分</w:t>
            </w:r>
          </w:p>
        </w:tc>
        <w:tc>
          <w:tcPr>
            <w:tcW w:w="953" w:type="dxa"/>
            <w:vAlign w:val="center"/>
          </w:tcPr>
          <w:p>
            <w:pPr>
              <w:spacing w:line="400" w:lineRule="exact"/>
              <w:jc w:val="center"/>
              <w:rPr>
                <w:rFonts w:hint="default" w:ascii="宋体" w:hAnsi="宋体" w:eastAsia="宋体"/>
                <w:b/>
                <w:szCs w:val="24"/>
                <w:lang w:val="en-US" w:eastAsia="zh-CN"/>
              </w:rPr>
            </w:pPr>
            <w:r>
              <w:rPr>
                <w:rFonts w:hint="eastAsia" w:ascii="宋体" w:hAnsi="宋体"/>
                <w:b/>
                <w:szCs w:val="24"/>
                <w:lang w:val="en-US" w:eastAsia="zh-CN"/>
              </w:rPr>
              <w:t>45</w:t>
            </w:r>
          </w:p>
        </w:tc>
        <w:tc>
          <w:tcPr>
            <w:tcW w:w="5420" w:type="dxa"/>
          </w:tcPr>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left"/>
              <w:textAlignment w:val="baseline"/>
              <w:outlineLvl w:val="9"/>
              <w:rPr>
                <w:rFonts w:hint="default" w:ascii="宋体" w:hAnsi="宋体" w:eastAsia="宋体" w:cs="宋体"/>
                <w:szCs w:val="21"/>
                <w:lang w:val="en-US" w:eastAsia="zh-CN"/>
              </w:rPr>
            </w:pPr>
            <w:r>
              <w:rPr>
                <w:rFonts w:hint="eastAsia" w:ascii="宋体" w:hAnsi="宋体" w:eastAsia="宋体" w:cs="宋体"/>
                <w:szCs w:val="21"/>
                <w:lang w:val="en-US" w:eastAsia="zh-CN"/>
              </w:rPr>
              <w:t>投标人报价得分＝（有效最低投标报价／该投标人报价）×50（保留1位小数点，第2位四舍五入，下同）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1" w:hRule="atLeast"/>
          <w:jc w:val="center"/>
        </w:trPr>
        <w:tc>
          <w:tcPr>
            <w:tcW w:w="1428" w:type="dxa"/>
            <w:vMerge w:val="restart"/>
            <w:vAlign w:val="center"/>
          </w:tcPr>
          <w:p>
            <w:pPr>
              <w:spacing w:line="400" w:lineRule="exact"/>
              <w:jc w:val="center"/>
              <w:rPr>
                <w:rFonts w:hint="eastAsia" w:ascii="宋体" w:hAnsi="宋体"/>
                <w:b/>
                <w:szCs w:val="24"/>
                <w:lang w:val="en-US" w:eastAsia="zh-CN"/>
              </w:rPr>
            </w:pPr>
          </w:p>
          <w:p>
            <w:pPr>
              <w:spacing w:line="400" w:lineRule="exact"/>
              <w:jc w:val="center"/>
              <w:rPr>
                <w:rFonts w:hint="eastAsia" w:ascii="宋体" w:hAnsi="宋体"/>
                <w:b/>
                <w:szCs w:val="24"/>
                <w:lang w:val="en-US" w:eastAsia="zh-CN"/>
              </w:rPr>
            </w:pPr>
          </w:p>
          <w:p>
            <w:pPr>
              <w:spacing w:line="400" w:lineRule="exact"/>
              <w:jc w:val="center"/>
              <w:rPr>
                <w:rFonts w:hint="eastAsia" w:ascii="宋体" w:hAnsi="宋体"/>
                <w:b/>
                <w:szCs w:val="24"/>
                <w:lang w:val="en-US" w:eastAsia="zh-CN"/>
              </w:rPr>
            </w:pPr>
          </w:p>
          <w:p>
            <w:pPr>
              <w:spacing w:line="400" w:lineRule="exact"/>
              <w:jc w:val="center"/>
              <w:rPr>
                <w:rFonts w:hint="eastAsia" w:ascii="宋体" w:hAnsi="宋体"/>
                <w:b/>
                <w:szCs w:val="24"/>
                <w:lang w:val="en-US" w:eastAsia="zh-CN"/>
              </w:rPr>
            </w:pPr>
          </w:p>
          <w:p>
            <w:pPr>
              <w:spacing w:line="400" w:lineRule="exact"/>
              <w:jc w:val="center"/>
              <w:rPr>
                <w:rFonts w:hint="eastAsia" w:ascii="宋体" w:hAnsi="宋体"/>
                <w:b/>
                <w:szCs w:val="24"/>
                <w:lang w:val="en-US" w:eastAsia="zh-CN"/>
              </w:rPr>
            </w:pPr>
          </w:p>
          <w:p>
            <w:pPr>
              <w:spacing w:line="400" w:lineRule="exact"/>
              <w:jc w:val="center"/>
              <w:rPr>
                <w:rFonts w:hint="eastAsia" w:ascii="宋体" w:hAnsi="宋体"/>
                <w:b/>
                <w:szCs w:val="24"/>
                <w:lang w:val="en-US" w:eastAsia="zh-CN"/>
              </w:rPr>
            </w:pPr>
          </w:p>
          <w:p>
            <w:pPr>
              <w:spacing w:line="400" w:lineRule="exact"/>
              <w:jc w:val="center"/>
              <w:rPr>
                <w:rFonts w:hint="eastAsia" w:ascii="宋体" w:hAnsi="宋体"/>
                <w:b/>
                <w:szCs w:val="24"/>
                <w:lang w:val="en-US" w:eastAsia="zh-CN"/>
              </w:rPr>
            </w:pPr>
          </w:p>
          <w:p>
            <w:pPr>
              <w:spacing w:line="400" w:lineRule="exact"/>
              <w:jc w:val="center"/>
              <w:rPr>
                <w:rFonts w:hint="eastAsia" w:ascii="宋体" w:hAnsi="宋体"/>
                <w:b/>
                <w:szCs w:val="24"/>
                <w:lang w:val="en-US" w:eastAsia="zh-CN"/>
              </w:rPr>
            </w:pPr>
          </w:p>
          <w:p>
            <w:pPr>
              <w:spacing w:line="400" w:lineRule="exact"/>
              <w:jc w:val="center"/>
              <w:rPr>
                <w:rFonts w:hint="eastAsia" w:ascii="宋体" w:hAnsi="宋体"/>
                <w:b/>
                <w:szCs w:val="24"/>
                <w:lang w:val="en-US" w:eastAsia="zh-CN"/>
              </w:rPr>
            </w:pPr>
          </w:p>
          <w:p>
            <w:pPr>
              <w:spacing w:line="400" w:lineRule="exact"/>
              <w:jc w:val="center"/>
              <w:rPr>
                <w:rFonts w:hint="eastAsia" w:ascii="宋体" w:hAnsi="宋体"/>
                <w:b/>
                <w:szCs w:val="24"/>
                <w:lang w:val="en-US" w:eastAsia="zh-CN"/>
              </w:rPr>
            </w:pPr>
          </w:p>
          <w:p>
            <w:pPr>
              <w:spacing w:line="400" w:lineRule="exact"/>
              <w:ind w:firstLine="241" w:firstLineChars="100"/>
              <w:jc w:val="both"/>
              <w:rPr>
                <w:rFonts w:hint="eastAsia" w:ascii="宋体" w:hAnsi="宋体"/>
                <w:b/>
                <w:szCs w:val="24"/>
                <w:lang w:val="en-US" w:eastAsia="zh-CN"/>
              </w:rPr>
            </w:pPr>
            <w:r>
              <w:rPr>
                <w:rFonts w:hint="eastAsia" w:ascii="宋体" w:hAnsi="宋体"/>
                <w:b/>
                <w:szCs w:val="24"/>
                <w:lang w:val="en-US" w:eastAsia="zh-CN"/>
              </w:rPr>
              <w:t>商务</w:t>
            </w:r>
            <w:r>
              <w:rPr>
                <w:rFonts w:hint="eastAsia" w:ascii="宋体" w:hAnsi="宋体"/>
                <w:b/>
                <w:szCs w:val="24"/>
              </w:rPr>
              <w:t>部分</w:t>
            </w:r>
            <w:r>
              <w:rPr>
                <w:rFonts w:hint="eastAsia" w:ascii="宋体" w:hAnsi="宋体"/>
                <w:b/>
                <w:szCs w:val="24"/>
              </w:rPr>
              <w:br w:type="textWrapping"/>
            </w:r>
            <w:r>
              <w:rPr>
                <w:rFonts w:hint="eastAsia" w:ascii="宋体" w:hAnsi="宋体"/>
                <w:b/>
                <w:szCs w:val="24"/>
                <w:lang w:eastAsia="zh-CN"/>
              </w:rPr>
              <w:t>（共</w:t>
            </w:r>
            <w:r>
              <w:rPr>
                <w:rFonts w:hint="eastAsia" w:ascii="宋体" w:hAnsi="宋体"/>
                <w:b/>
                <w:szCs w:val="24"/>
                <w:lang w:val="en-US" w:eastAsia="zh-CN"/>
              </w:rPr>
              <w:t>25分</w:t>
            </w:r>
            <w:r>
              <w:rPr>
                <w:rFonts w:hint="eastAsia" w:ascii="宋体" w:hAnsi="宋体"/>
                <w:b/>
                <w:szCs w:val="24"/>
                <w:lang w:eastAsia="zh-CN"/>
              </w:rPr>
              <w:t>）</w:t>
            </w:r>
          </w:p>
          <w:p>
            <w:pPr>
              <w:spacing w:line="400" w:lineRule="exact"/>
              <w:jc w:val="center"/>
              <w:rPr>
                <w:rFonts w:hint="eastAsia" w:ascii="宋体" w:hAnsi="宋体"/>
                <w:b/>
                <w:szCs w:val="24"/>
                <w:lang w:val="en-US" w:eastAsia="zh-CN"/>
              </w:rPr>
            </w:pPr>
          </w:p>
          <w:p>
            <w:pPr>
              <w:spacing w:line="400" w:lineRule="exact"/>
              <w:jc w:val="center"/>
              <w:rPr>
                <w:rFonts w:hint="eastAsia" w:ascii="宋体" w:hAnsi="宋体"/>
                <w:b/>
                <w:szCs w:val="24"/>
                <w:lang w:val="en-US" w:eastAsia="zh-CN"/>
              </w:rPr>
            </w:pPr>
          </w:p>
          <w:p>
            <w:pPr>
              <w:pStyle w:val="2"/>
              <w:rPr>
                <w:rFonts w:hint="eastAsia" w:ascii="宋体" w:hAnsi="宋体"/>
                <w:b/>
                <w:szCs w:val="24"/>
                <w:lang w:val="en-US" w:eastAsia="zh-CN"/>
              </w:rPr>
            </w:pPr>
          </w:p>
          <w:p>
            <w:pPr>
              <w:pStyle w:val="6"/>
              <w:rPr>
                <w:rFonts w:hint="eastAsia" w:ascii="宋体" w:hAnsi="宋体"/>
                <w:b/>
                <w:szCs w:val="24"/>
                <w:lang w:val="en-US" w:eastAsia="zh-CN"/>
              </w:rPr>
            </w:pPr>
          </w:p>
          <w:p>
            <w:pPr>
              <w:rPr>
                <w:rFonts w:hint="eastAsia" w:ascii="宋体" w:hAnsi="宋体"/>
                <w:b/>
                <w:szCs w:val="24"/>
                <w:lang w:val="en-US" w:eastAsia="zh-CN"/>
              </w:rPr>
            </w:pPr>
          </w:p>
          <w:p>
            <w:pPr>
              <w:pStyle w:val="2"/>
              <w:rPr>
                <w:rFonts w:hint="eastAsia" w:ascii="宋体" w:hAnsi="宋体"/>
                <w:b/>
                <w:szCs w:val="24"/>
                <w:lang w:val="en-US" w:eastAsia="zh-CN"/>
              </w:rPr>
            </w:pPr>
          </w:p>
          <w:p>
            <w:pPr>
              <w:pStyle w:val="6"/>
              <w:rPr>
                <w:rFonts w:hint="eastAsia" w:ascii="宋体" w:hAnsi="宋体"/>
                <w:b/>
                <w:szCs w:val="24"/>
                <w:lang w:val="en-US" w:eastAsia="zh-CN"/>
              </w:rPr>
            </w:pPr>
          </w:p>
          <w:p>
            <w:pPr>
              <w:rPr>
                <w:rFonts w:hint="eastAsia" w:ascii="宋体" w:hAnsi="宋体"/>
                <w:b/>
                <w:szCs w:val="24"/>
                <w:lang w:val="en-US" w:eastAsia="zh-CN"/>
              </w:rPr>
            </w:pPr>
          </w:p>
          <w:p>
            <w:pPr>
              <w:pStyle w:val="2"/>
              <w:rPr>
                <w:rFonts w:hint="eastAsia" w:ascii="宋体" w:hAnsi="宋体"/>
                <w:b/>
                <w:szCs w:val="24"/>
                <w:lang w:val="en-US" w:eastAsia="zh-CN"/>
              </w:rPr>
            </w:pPr>
          </w:p>
          <w:p>
            <w:pPr>
              <w:pStyle w:val="6"/>
              <w:rPr>
                <w:rFonts w:hint="eastAsia" w:ascii="宋体" w:hAnsi="宋体"/>
                <w:b/>
                <w:szCs w:val="24"/>
                <w:lang w:val="en-US" w:eastAsia="zh-CN"/>
              </w:rPr>
            </w:pPr>
          </w:p>
          <w:p>
            <w:pPr>
              <w:rPr>
                <w:rFonts w:hint="eastAsia" w:ascii="宋体" w:hAnsi="宋体"/>
                <w:b/>
                <w:szCs w:val="24"/>
                <w:lang w:val="en-US" w:eastAsia="zh-CN"/>
              </w:rPr>
            </w:pPr>
          </w:p>
          <w:p>
            <w:pPr>
              <w:pStyle w:val="2"/>
              <w:rPr>
                <w:rFonts w:hint="eastAsia" w:ascii="宋体" w:hAnsi="宋体"/>
                <w:b/>
                <w:szCs w:val="24"/>
                <w:lang w:val="en-US" w:eastAsia="zh-CN"/>
              </w:rPr>
            </w:pPr>
          </w:p>
          <w:p>
            <w:pPr>
              <w:pStyle w:val="6"/>
              <w:rPr>
                <w:rFonts w:hint="eastAsia" w:ascii="宋体" w:hAnsi="宋体"/>
                <w:b/>
                <w:szCs w:val="24"/>
                <w:lang w:val="en-US" w:eastAsia="zh-CN"/>
              </w:rPr>
            </w:pPr>
          </w:p>
          <w:p>
            <w:pPr>
              <w:rPr>
                <w:rFonts w:hint="eastAsia"/>
                <w:lang w:val="en-US" w:eastAsia="zh-CN"/>
              </w:rPr>
            </w:pPr>
          </w:p>
          <w:p>
            <w:pPr>
              <w:spacing w:line="400" w:lineRule="exact"/>
              <w:jc w:val="center"/>
              <w:rPr>
                <w:rFonts w:hint="eastAsia" w:ascii="宋体" w:hAnsi="宋体"/>
                <w:b/>
                <w:szCs w:val="24"/>
                <w:lang w:val="en-US" w:eastAsia="zh-CN"/>
              </w:rPr>
            </w:pPr>
          </w:p>
        </w:tc>
        <w:tc>
          <w:tcPr>
            <w:tcW w:w="1429" w:type="dxa"/>
            <w:vAlign w:val="center"/>
          </w:tcPr>
          <w:p>
            <w:pPr>
              <w:spacing w:line="400" w:lineRule="exact"/>
              <w:jc w:val="center"/>
              <w:rPr>
                <w:rFonts w:hint="eastAsia" w:ascii="宋体" w:hAnsi="宋体"/>
                <w:b/>
                <w:szCs w:val="24"/>
              </w:rPr>
            </w:pPr>
            <w:r>
              <w:rPr>
                <w:rFonts w:hint="eastAsia" w:ascii="宋体" w:hAnsi="宋体"/>
                <w:b/>
                <w:szCs w:val="24"/>
              </w:rPr>
              <w:t>商务</w:t>
            </w:r>
            <w:r>
              <w:rPr>
                <w:rFonts w:hint="eastAsia" w:ascii="宋体" w:hAnsi="宋体"/>
                <w:b/>
                <w:szCs w:val="24"/>
                <w:lang w:eastAsia="zh-CN"/>
              </w:rPr>
              <w:t>要求</w:t>
            </w:r>
            <w:r>
              <w:rPr>
                <w:rFonts w:hint="eastAsia" w:ascii="宋体" w:hAnsi="宋体"/>
                <w:b/>
                <w:szCs w:val="24"/>
              </w:rPr>
              <w:t>响应情况</w:t>
            </w:r>
          </w:p>
        </w:tc>
        <w:tc>
          <w:tcPr>
            <w:tcW w:w="953" w:type="dxa"/>
            <w:vAlign w:val="center"/>
          </w:tcPr>
          <w:p>
            <w:pPr>
              <w:spacing w:line="400" w:lineRule="exact"/>
              <w:jc w:val="center"/>
              <w:rPr>
                <w:rFonts w:hint="default" w:ascii="宋体" w:hAnsi="宋体"/>
                <w:b/>
                <w:szCs w:val="24"/>
                <w:lang w:val="en-US" w:eastAsia="zh-CN"/>
              </w:rPr>
            </w:pPr>
            <w:r>
              <w:rPr>
                <w:rFonts w:hint="eastAsia" w:ascii="宋体" w:hAnsi="宋体"/>
                <w:b/>
                <w:szCs w:val="24"/>
                <w:lang w:val="en-US" w:eastAsia="zh-CN"/>
              </w:rPr>
              <w:t>5</w:t>
            </w:r>
          </w:p>
        </w:tc>
        <w:tc>
          <w:tcPr>
            <w:tcW w:w="5420" w:type="dxa"/>
            <w:vAlign w:val="top"/>
          </w:tcPr>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left"/>
              <w:textAlignment w:val="baseline"/>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不能实质性满足重要商务要求的为无效响应。在满足重要商务要求的基础上，对供应商的商务要求响应程度进行综合比较评价：</w:t>
            </w:r>
          </w:p>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left"/>
              <w:textAlignment w:val="baseline"/>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第一档，响应全面，描述完备、细致，完全满足且部分优于采购需求的，得4-5分；</w:t>
            </w:r>
          </w:p>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left"/>
              <w:textAlignment w:val="baseline"/>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第二档，响应较全面、细致，满足采购需求的，得2-3.5分；</w:t>
            </w:r>
          </w:p>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left"/>
              <w:textAlignment w:val="baseline"/>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第三档，基本响应采购需求，但有缺陷或部分一般指标不满足需求的，得0-1.5分。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1" w:hRule="atLeast"/>
          <w:jc w:val="center"/>
        </w:trPr>
        <w:tc>
          <w:tcPr>
            <w:tcW w:w="1428" w:type="dxa"/>
            <w:vMerge w:val="continue"/>
            <w:tcBorders/>
            <w:vAlign w:val="center"/>
          </w:tcPr>
          <w:p>
            <w:pPr>
              <w:spacing w:line="400" w:lineRule="exact"/>
              <w:jc w:val="center"/>
              <w:rPr>
                <w:rFonts w:ascii="宋体" w:hAnsi="宋体"/>
                <w:b/>
                <w:szCs w:val="24"/>
              </w:rPr>
            </w:pPr>
          </w:p>
        </w:tc>
        <w:tc>
          <w:tcPr>
            <w:tcW w:w="1429" w:type="dxa"/>
            <w:vAlign w:val="center"/>
          </w:tcPr>
          <w:p>
            <w:pPr>
              <w:pStyle w:val="2"/>
              <w:jc w:val="center"/>
              <w:rPr>
                <w:rFonts w:hint="eastAsia" w:ascii="宋体" w:hAnsi="宋体"/>
                <w:b/>
                <w:szCs w:val="24"/>
                <w:lang w:eastAsia="zh-CN"/>
              </w:rPr>
            </w:pPr>
            <w:r>
              <w:rPr>
                <w:rFonts w:hint="eastAsia" w:ascii="宋体" w:hAnsi="宋体"/>
                <w:b/>
                <w:szCs w:val="24"/>
                <w:lang w:eastAsia="zh-CN"/>
              </w:rPr>
              <w:t>企业相关</w:t>
            </w:r>
          </w:p>
          <w:p>
            <w:pPr>
              <w:pStyle w:val="2"/>
              <w:jc w:val="center"/>
              <w:rPr>
                <w:rFonts w:hint="eastAsia" w:eastAsia="宋体"/>
                <w:lang w:eastAsia="zh-CN"/>
              </w:rPr>
            </w:pPr>
            <w:r>
              <w:rPr>
                <w:rFonts w:hint="eastAsia" w:ascii="宋体" w:hAnsi="宋体"/>
                <w:b/>
                <w:szCs w:val="24"/>
                <w:lang w:eastAsia="zh-CN"/>
              </w:rPr>
              <w:t>资质</w:t>
            </w:r>
          </w:p>
        </w:tc>
        <w:tc>
          <w:tcPr>
            <w:tcW w:w="953" w:type="dxa"/>
            <w:vAlign w:val="center"/>
          </w:tcPr>
          <w:p>
            <w:pPr>
              <w:pStyle w:val="2"/>
              <w:jc w:val="center"/>
              <w:rPr>
                <w:rFonts w:hint="default"/>
                <w:lang w:val="en-US" w:eastAsia="zh-CN"/>
              </w:rPr>
            </w:pPr>
            <w:r>
              <w:rPr>
                <w:rFonts w:hint="eastAsia"/>
                <w:lang w:val="en-US" w:eastAsia="zh-CN"/>
              </w:rPr>
              <w:t>5</w:t>
            </w:r>
          </w:p>
        </w:tc>
        <w:tc>
          <w:tcPr>
            <w:tcW w:w="5420"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left"/>
              <w:textAlignment w:val="baseline"/>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1、法人代表人证明或其委托人的授权委托书。2、营业执照、信用证明等供应商资格证明相关材料。</w:t>
            </w:r>
          </w:p>
          <w:p>
            <w:pPr>
              <w:keepNext w:val="0"/>
              <w:keepLines w:val="0"/>
              <w:pageBreakBefore w:val="0"/>
              <w:widowControl w:val="0"/>
              <w:kinsoku/>
              <w:wordWrap/>
              <w:overflowPunct/>
              <w:topLinePunct w:val="0"/>
              <w:autoSpaceDE/>
              <w:autoSpaceDN/>
              <w:bidi w:val="0"/>
              <w:adjustRightInd w:val="0"/>
              <w:snapToGrid/>
              <w:spacing w:line="360" w:lineRule="exact"/>
              <w:jc w:val="left"/>
              <w:textAlignment w:val="baseline"/>
              <w:outlineLvl w:val="9"/>
              <w:rPr>
                <w:rFonts w:hint="default" w:ascii="宋体" w:hAnsi="宋体" w:eastAsia="宋体" w:cs="宋体"/>
                <w:szCs w:val="21"/>
                <w:lang w:val="en-US" w:eastAsia="zh-CN"/>
              </w:rPr>
            </w:pPr>
            <w:r>
              <w:rPr>
                <w:rFonts w:hint="eastAsia" w:ascii="宋体" w:hAnsi="宋体" w:eastAsia="宋体" w:cs="宋体"/>
                <w:szCs w:val="21"/>
                <w:lang w:val="en-US" w:eastAsia="zh-CN"/>
              </w:rPr>
              <w:t>3、比选报价一览表及明细表。4、技术参数与商务参数响应情况。5、项目实施方案。6、施工团队配置情况。7、供应商相关业绩情况。8、供应商认为有必要提供的其他材料。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428" w:type="dxa"/>
            <w:vMerge w:val="continue"/>
            <w:tcBorders/>
            <w:vAlign w:val="center"/>
          </w:tcPr>
          <w:p>
            <w:pPr>
              <w:spacing w:line="400" w:lineRule="exact"/>
              <w:jc w:val="center"/>
              <w:rPr>
                <w:rFonts w:ascii="宋体" w:hAnsi="宋体"/>
                <w:b/>
                <w:szCs w:val="24"/>
              </w:rPr>
            </w:pPr>
          </w:p>
        </w:tc>
        <w:tc>
          <w:tcPr>
            <w:tcW w:w="1429" w:type="dxa"/>
            <w:vAlign w:val="center"/>
          </w:tcPr>
          <w:p>
            <w:pPr>
              <w:spacing w:line="400" w:lineRule="exact"/>
              <w:jc w:val="center"/>
              <w:rPr>
                <w:rFonts w:hint="eastAsia" w:ascii="宋体" w:hAnsi="宋体"/>
                <w:b/>
                <w:szCs w:val="24"/>
              </w:rPr>
            </w:pPr>
            <w:r>
              <w:rPr>
                <w:rFonts w:hint="eastAsia" w:ascii="宋体" w:hAnsi="宋体"/>
                <w:b/>
                <w:szCs w:val="24"/>
              </w:rPr>
              <w:t>售后服务及体系</w:t>
            </w:r>
          </w:p>
        </w:tc>
        <w:tc>
          <w:tcPr>
            <w:tcW w:w="953" w:type="dxa"/>
            <w:vAlign w:val="center"/>
          </w:tcPr>
          <w:p>
            <w:pPr>
              <w:spacing w:line="400" w:lineRule="exact"/>
              <w:jc w:val="center"/>
              <w:rPr>
                <w:rFonts w:hint="default" w:ascii="宋体" w:hAnsi="宋体"/>
                <w:b/>
                <w:szCs w:val="24"/>
                <w:lang w:val="en-US" w:eastAsia="zh-CN"/>
              </w:rPr>
            </w:pPr>
            <w:r>
              <w:rPr>
                <w:rFonts w:hint="eastAsia" w:ascii="宋体" w:hAnsi="宋体"/>
                <w:b/>
                <w:szCs w:val="24"/>
                <w:lang w:val="en-US" w:eastAsia="zh-CN"/>
              </w:rPr>
              <w:t>5</w:t>
            </w:r>
          </w:p>
        </w:tc>
        <w:tc>
          <w:tcPr>
            <w:tcW w:w="5420" w:type="dxa"/>
            <w:vAlign w:val="top"/>
          </w:tcPr>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left"/>
              <w:textAlignment w:val="baseline"/>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根据供应商的售后服务、技术支持能力与承诺优劣进行综合比较评价，分三档进行打分。</w:t>
            </w:r>
          </w:p>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left"/>
              <w:textAlignment w:val="baseline"/>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第一档，项目对接响应及时，能够</w:t>
            </w:r>
            <w:r>
              <w:rPr>
                <w:rFonts w:hint="eastAsia" w:ascii="宋体" w:hAnsi="宋体" w:eastAsia="宋体" w:cs="宋体"/>
                <w:szCs w:val="21"/>
                <w:lang w:val="en-US" w:eastAsia="zh-CN"/>
              </w:rPr>
              <w:t>妥善安排各项施工人员的进场流程，按照要求及时更新设计，</w:t>
            </w:r>
            <w:r>
              <w:rPr>
                <w:rFonts w:hint="eastAsia" w:ascii="宋体" w:hAnsi="宋体" w:eastAsia="宋体" w:cs="宋体"/>
                <w:szCs w:val="21"/>
                <w:lang w:val="en-US" w:eastAsia="zh-CN"/>
              </w:rPr>
              <w:t>能及时处理问题的，得4</w:t>
            </w:r>
            <w:r>
              <w:rPr>
                <w:rFonts w:hint="eastAsia" w:ascii="宋体" w:hAnsi="宋体" w:eastAsia="宋体" w:cs="宋体"/>
                <w:szCs w:val="21"/>
                <w:lang w:val="en-US" w:eastAsia="zh-CN"/>
              </w:rPr>
              <w:t>-5分；</w:t>
            </w:r>
          </w:p>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left"/>
              <w:textAlignment w:val="baseline"/>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第二档，能够</w:t>
            </w:r>
            <w:r>
              <w:rPr>
                <w:rFonts w:hint="eastAsia" w:ascii="宋体" w:hAnsi="宋体" w:eastAsia="宋体" w:cs="宋体"/>
                <w:szCs w:val="21"/>
                <w:lang w:val="en-US" w:eastAsia="zh-CN"/>
              </w:rPr>
              <w:t>积极配合，但处理不够及时的，得2</w:t>
            </w:r>
            <w:r>
              <w:rPr>
                <w:rFonts w:hint="eastAsia" w:ascii="宋体" w:hAnsi="宋体" w:eastAsia="宋体" w:cs="宋体"/>
                <w:szCs w:val="21"/>
                <w:lang w:val="en-US" w:eastAsia="zh-CN"/>
              </w:rPr>
              <w:t>-3.5分；</w:t>
            </w:r>
          </w:p>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left"/>
              <w:textAlignment w:val="baseline"/>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第三档：不能够主动的提供</w:t>
            </w:r>
            <w:r>
              <w:rPr>
                <w:rFonts w:hint="eastAsia" w:ascii="宋体" w:hAnsi="宋体" w:eastAsia="宋体" w:cs="宋体"/>
                <w:szCs w:val="21"/>
                <w:lang w:val="en-US" w:eastAsia="zh-CN"/>
              </w:rPr>
              <w:t>服务，得</w:t>
            </w:r>
            <w:r>
              <w:rPr>
                <w:rFonts w:hint="eastAsia" w:ascii="宋体" w:hAnsi="宋体" w:eastAsia="宋体" w:cs="宋体"/>
                <w:szCs w:val="21"/>
                <w:lang w:val="en-US" w:eastAsia="zh-CN"/>
              </w:rPr>
              <w:t>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6" w:hRule="atLeast"/>
          <w:jc w:val="center"/>
        </w:trPr>
        <w:tc>
          <w:tcPr>
            <w:tcW w:w="1428" w:type="dxa"/>
            <w:vMerge w:val="continue"/>
            <w:tcBorders/>
            <w:vAlign w:val="center"/>
          </w:tcPr>
          <w:p>
            <w:pPr>
              <w:spacing w:line="400" w:lineRule="exact"/>
              <w:jc w:val="center"/>
              <w:rPr>
                <w:rFonts w:hint="eastAsia" w:ascii="宋体" w:hAnsi="宋体"/>
                <w:b w:val="0"/>
                <w:bCs/>
                <w:szCs w:val="24"/>
                <w:lang w:val="en-US" w:eastAsia="zh-CN"/>
              </w:rPr>
            </w:pPr>
          </w:p>
        </w:tc>
        <w:tc>
          <w:tcPr>
            <w:tcW w:w="1429" w:type="dxa"/>
            <w:vAlign w:val="center"/>
          </w:tcPr>
          <w:p>
            <w:pPr>
              <w:spacing w:line="400" w:lineRule="exact"/>
              <w:jc w:val="center"/>
              <w:rPr>
                <w:rFonts w:hint="eastAsia" w:ascii="宋体" w:hAnsi="宋体"/>
                <w:b/>
                <w:szCs w:val="24"/>
              </w:rPr>
            </w:pPr>
            <w:r>
              <w:rPr>
                <w:rFonts w:hint="eastAsia" w:ascii="宋体" w:hAnsi="宋体"/>
                <w:b/>
                <w:szCs w:val="24"/>
              </w:rPr>
              <w:t>同类业绩</w:t>
            </w:r>
          </w:p>
          <w:p>
            <w:pPr>
              <w:spacing w:line="400" w:lineRule="exact"/>
              <w:jc w:val="center"/>
              <w:rPr>
                <w:rFonts w:hint="eastAsia" w:ascii="宋体" w:hAnsi="宋体" w:eastAsia="宋体"/>
                <w:b/>
                <w:szCs w:val="24"/>
                <w:lang w:eastAsia="zh-CN"/>
              </w:rPr>
            </w:pPr>
          </w:p>
        </w:tc>
        <w:tc>
          <w:tcPr>
            <w:tcW w:w="953" w:type="dxa"/>
            <w:vAlign w:val="center"/>
          </w:tcPr>
          <w:p>
            <w:pPr>
              <w:pStyle w:val="2"/>
              <w:jc w:val="center"/>
              <w:rPr>
                <w:rFonts w:hint="default"/>
                <w:lang w:val="en-US" w:eastAsia="zh-CN"/>
              </w:rPr>
            </w:pPr>
            <w:r>
              <w:rPr>
                <w:rFonts w:hint="eastAsia"/>
                <w:lang w:val="en-US" w:eastAsia="zh-CN"/>
              </w:rPr>
              <w:t>10</w:t>
            </w:r>
          </w:p>
        </w:tc>
        <w:tc>
          <w:tcPr>
            <w:tcW w:w="5420" w:type="dxa"/>
            <w:vAlign w:val="top"/>
          </w:tcPr>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left"/>
              <w:textAlignment w:val="baseline"/>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供应商需提交近三年内，具有展览设计施工的案例，须提交相应图文资料及合同。每提交1个省级及以上博物馆、纪念馆、展览馆展览设计施工案例，得2.5分；每提交1个市级及以下博物馆、纪念馆、展览馆展览设计施工案例，得1分；其他展览项目，每提交一个施工案例，得0.5分。此项最高得</w:t>
            </w:r>
            <w:r>
              <w:rPr>
                <w:rFonts w:hint="eastAsia" w:ascii="宋体" w:hAnsi="宋体" w:cs="宋体"/>
                <w:szCs w:val="21"/>
                <w:lang w:val="en-US" w:eastAsia="zh-CN"/>
              </w:rPr>
              <w:t>10</w:t>
            </w:r>
            <w:r>
              <w:rPr>
                <w:rFonts w:hint="eastAsia" w:ascii="宋体" w:hAnsi="宋体" w:eastAsia="宋体" w:cs="宋体"/>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8" w:hRule="atLeast"/>
          <w:jc w:val="center"/>
        </w:trPr>
        <w:tc>
          <w:tcPr>
            <w:tcW w:w="1428" w:type="dxa"/>
            <w:vMerge w:val="restart"/>
            <w:vAlign w:val="center"/>
          </w:tcPr>
          <w:p>
            <w:pPr>
              <w:pStyle w:val="6"/>
              <w:rPr>
                <w:rFonts w:hint="eastAsia"/>
                <w:lang w:val="en-US" w:eastAsia="zh-CN"/>
              </w:rPr>
            </w:pPr>
          </w:p>
          <w:p>
            <w:pPr>
              <w:spacing w:line="400" w:lineRule="exact"/>
              <w:jc w:val="center"/>
              <w:rPr>
                <w:rFonts w:hint="eastAsia" w:ascii="宋体" w:hAnsi="宋体"/>
                <w:b/>
                <w:szCs w:val="24"/>
                <w:lang w:val="en-US" w:eastAsia="zh-CN"/>
              </w:rPr>
            </w:pPr>
            <w:r>
              <w:rPr>
                <w:rFonts w:hint="eastAsia" w:ascii="宋体" w:hAnsi="宋体"/>
                <w:b/>
                <w:szCs w:val="24"/>
                <w:lang w:val="en-US" w:eastAsia="zh-CN"/>
              </w:rPr>
              <w:t xml:space="preserve"> 技术部分</w:t>
            </w:r>
            <w:r>
              <w:rPr>
                <w:rFonts w:hint="eastAsia" w:ascii="宋体" w:hAnsi="宋体"/>
                <w:b/>
                <w:szCs w:val="24"/>
                <w:lang w:val="en-US" w:eastAsia="zh-CN"/>
              </w:rPr>
              <w:br w:type="textWrapping"/>
            </w:r>
            <w:r>
              <w:rPr>
                <w:rFonts w:hint="eastAsia" w:ascii="宋体" w:hAnsi="宋体"/>
                <w:b/>
                <w:szCs w:val="24"/>
                <w:lang w:val="en-US" w:eastAsia="zh-CN"/>
              </w:rPr>
              <w:t>（共30分）</w:t>
            </w:r>
          </w:p>
        </w:tc>
        <w:tc>
          <w:tcPr>
            <w:tcW w:w="1429" w:type="dxa"/>
            <w:vAlign w:val="center"/>
          </w:tcPr>
          <w:p>
            <w:pPr>
              <w:spacing w:line="400" w:lineRule="exact"/>
              <w:jc w:val="center"/>
              <w:rPr>
                <w:rFonts w:hint="eastAsia" w:ascii="宋体" w:hAnsi="宋体"/>
                <w:b/>
                <w:szCs w:val="24"/>
                <w:lang w:val="en-US" w:eastAsia="zh-CN"/>
              </w:rPr>
            </w:pPr>
            <w:r>
              <w:rPr>
                <w:rFonts w:hint="eastAsia" w:ascii="宋体" w:hAnsi="宋体"/>
                <w:b/>
                <w:szCs w:val="24"/>
                <w:lang w:eastAsia="zh-CN"/>
              </w:rPr>
              <w:t>实施方案</w:t>
            </w:r>
          </w:p>
        </w:tc>
        <w:tc>
          <w:tcPr>
            <w:tcW w:w="953" w:type="dxa"/>
            <w:vAlign w:val="center"/>
          </w:tcPr>
          <w:p>
            <w:pPr>
              <w:pStyle w:val="2"/>
              <w:ind w:firstLine="240" w:firstLineChars="100"/>
              <w:rPr>
                <w:rFonts w:hint="default"/>
                <w:lang w:val="en-US" w:eastAsia="zh-CN"/>
              </w:rPr>
            </w:pPr>
            <w:r>
              <w:rPr>
                <w:rFonts w:hint="eastAsia"/>
                <w:lang w:val="en-US" w:eastAsia="zh-CN"/>
              </w:rPr>
              <w:t>20</w:t>
            </w:r>
          </w:p>
        </w:tc>
        <w:tc>
          <w:tcPr>
            <w:tcW w:w="5420" w:type="dxa"/>
            <w:tcBorders/>
            <w:vAlign w:val="top"/>
          </w:tcPr>
          <w:p>
            <w:pPr>
              <w:keepNext w:val="0"/>
              <w:keepLines w:val="0"/>
              <w:pageBreakBefore w:val="0"/>
              <w:widowControl w:val="0"/>
              <w:kinsoku/>
              <w:wordWrap/>
              <w:overflowPunct/>
              <w:topLinePunct w:val="0"/>
              <w:autoSpaceDE/>
              <w:autoSpaceDN/>
              <w:bidi w:val="0"/>
              <w:adjustRightInd w:val="0"/>
              <w:snapToGrid/>
              <w:spacing w:before="63" w:beforeLines="20" w:line="360" w:lineRule="exact"/>
              <w:ind w:firstLine="480" w:firstLineChars="200"/>
              <w:jc w:val="left"/>
              <w:textAlignment w:val="baseline"/>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根据供应商提供的项目实施方案进行评价：</w:t>
            </w:r>
          </w:p>
          <w:p>
            <w:pPr>
              <w:keepNext w:val="0"/>
              <w:keepLines w:val="0"/>
              <w:pageBreakBefore w:val="0"/>
              <w:widowControl w:val="0"/>
              <w:kinsoku/>
              <w:wordWrap/>
              <w:overflowPunct/>
              <w:topLinePunct w:val="0"/>
              <w:autoSpaceDE/>
              <w:autoSpaceDN/>
              <w:bidi w:val="0"/>
              <w:adjustRightInd w:val="0"/>
              <w:snapToGrid/>
              <w:spacing w:before="63" w:beforeLines="20" w:line="360" w:lineRule="exact"/>
              <w:ind w:firstLine="480" w:firstLineChars="200"/>
              <w:jc w:val="left"/>
              <w:textAlignment w:val="baseline"/>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第一档，能依照项目设计方案提供明确的施工进度，并在规定时间内高水准完成各项施工及布展、</w:t>
            </w:r>
            <w:r>
              <w:rPr>
                <w:rFonts w:hint="eastAsia" w:ascii="宋体" w:hAnsi="宋体" w:eastAsia="宋体" w:cs="宋体"/>
                <w:szCs w:val="21"/>
                <w:lang w:val="en-US" w:eastAsia="zh-CN"/>
              </w:rPr>
              <w:t>撤展工作；施工材料满足规定采购范围且符合国家现行标准；制定切实可行的质量和安全管理措施；具备专业的加工设备和工具，能提供相应证明材料；写真喷绘色彩精准，精度</w:t>
            </w:r>
            <w:r>
              <w:rPr>
                <w:rFonts w:hint="eastAsia" w:ascii="宋体" w:hAnsi="宋体" w:eastAsia="宋体" w:cs="宋体"/>
                <w:szCs w:val="21"/>
                <w:lang w:val="en-US" w:eastAsia="zh-CN"/>
              </w:rPr>
              <w:t>不低于300dpi/㎡，高清UV油画布喷绘精度不低于30dpi/㎡，铺设平整不起泡。得：</w:t>
            </w:r>
            <w:r>
              <w:rPr>
                <w:rFonts w:hint="eastAsia" w:ascii="宋体" w:hAnsi="宋体" w:cs="宋体"/>
                <w:szCs w:val="21"/>
                <w:lang w:val="en-US" w:eastAsia="zh-CN"/>
              </w:rPr>
              <w:t>14</w:t>
            </w:r>
            <w:r>
              <w:rPr>
                <w:rFonts w:hint="eastAsia" w:ascii="宋体" w:hAnsi="宋体" w:eastAsia="宋体" w:cs="宋体"/>
                <w:szCs w:val="21"/>
                <w:lang w:val="en-US" w:eastAsia="zh-CN"/>
              </w:rPr>
              <w:t>-</w:t>
            </w:r>
            <w:r>
              <w:rPr>
                <w:rFonts w:hint="eastAsia" w:ascii="宋体" w:hAnsi="宋体" w:cs="宋体"/>
                <w:szCs w:val="21"/>
                <w:lang w:val="en-US" w:eastAsia="zh-CN"/>
              </w:rPr>
              <w:t>2</w:t>
            </w:r>
            <w:r>
              <w:rPr>
                <w:rFonts w:hint="eastAsia" w:ascii="宋体" w:hAnsi="宋体" w:eastAsia="宋体" w:cs="宋体"/>
                <w:szCs w:val="21"/>
                <w:lang w:val="en-US" w:eastAsia="zh-CN"/>
              </w:rPr>
              <w:t>0分</w:t>
            </w:r>
            <w:r>
              <w:rPr>
                <w:rFonts w:hint="eastAsia" w:ascii="宋体" w:hAnsi="宋体" w:cs="宋体"/>
                <w:szCs w:val="21"/>
                <w:lang w:val="en-US" w:eastAsia="zh-CN"/>
              </w:rPr>
              <w:t>；</w:t>
            </w:r>
          </w:p>
          <w:p>
            <w:pPr>
              <w:keepNext w:val="0"/>
              <w:keepLines w:val="0"/>
              <w:pageBreakBefore w:val="0"/>
              <w:widowControl w:val="0"/>
              <w:kinsoku/>
              <w:wordWrap/>
              <w:overflowPunct/>
              <w:topLinePunct w:val="0"/>
              <w:autoSpaceDE/>
              <w:autoSpaceDN/>
              <w:bidi w:val="0"/>
              <w:adjustRightInd w:val="0"/>
              <w:snapToGrid/>
              <w:spacing w:before="63" w:beforeLines="20" w:line="360" w:lineRule="exact"/>
              <w:ind w:firstLine="480" w:firstLineChars="200"/>
              <w:jc w:val="left"/>
              <w:textAlignment w:val="baseline"/>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第二档，</w:t>
            </w:r>
            <w:r>
              <w:rPr>
                <w:rFonts w:hint="eastAsia" w:ascii="宋体" w:hAnsi="宋体" w:eastAsia="宋体" w:cs="宋体"/>
                <w:szCs w:val="21"/>
                <w:lang w:val="en-US" w:eastAsia="zh-CN"/>
              </w:rPr>
              <w:t>能在规定时间内基本完成各项施工及布展、撤展工作；施工材料基本符合国家现行标准；具有相关安全管理措施；具备基本的加工设备和工具；写真喷绘色彩基本准确，铺设施工基本平整。得：</w:t>
            </w:r>
            <w:r>
              <w:rPr>
                <w:rFonts w:hint="eastAsia" w:ascii="宋体" w:hAnsi="宋体" w:cs="宋体"/>
                <w:szCs w:val="21"/>
                <w:lang w:val="en-US" w:eastAsia="zh-CN"/>
              </w:rPr>
              <w:t>8</w:t>
            </w:r>
            <w:r>
              <w:rPr>
                <w:rFonts w:hint="eastAsia" w:ascii="宋体" w:hAnsi="宋体" w:eastAsia="宋体" w:cs="宋体"/>
                <w:szCs w:val="21"/>
                <w:lang w:val="en-US" w:eastAsia="zh-CN"/>
              </w:rPr>
              <w:t>-</w:t>
            </w:r>
            <w:r>
              <w:rPr>
                <w:rFonts w:hint="eastAsia" w:ascii="宋体" w:hAnsi="宋体" w:cs="宋体"/>
                <w:szCs w:val="21"/>
                <w:lang w:val="en-US" w:eastAsia="zh-CN"/>
              </w:rPr>
              <w:t>13.</w:t>
            </w:r>
            <w:r>
              <w:rPr>
                <w:rFonts w:hint="eastAsia" w:ascii="宋体" w:hAnsi="宋体" w:eastAsia="宋体" w:cs="宋体"/>
                <w:szCs w:val="21"/>
                <w:lang w:val="en-US" w:eastAsia="zh-CN"/>
              </w:rPr>
              <w:t>5分</w:t>
            </w:r>
            <w:r>
              <w:rPr>
                <w:rFonts w:hint="eastAsia" w:ascii="宋体" w:hAnsi="宋体" w:cs="宋体"/>
                <w:szCs w:val="21"/>
                <w:lang w:val="en-US" w:eastAsia="zh-CN"/>
              </w:rPr>
              <w:t>；</w:t>
            </w:r>
          </w:p>
          <w:p>
            <w:pPr>
              <w:keepNext w:val="0"/>
              <w:keepLines w:val="0"/>
              <w:pageBreakBefore w:val="0"/>
              <w:widowControl w:val="0"/>
              <w:kinsoku/>
              <w:wordWrap/>
              <w:overflowPunct/>
              <w:topLinePunct w:val="0"/>
              <w:autoSpaceDE/>
              <w:autoSpaceDN/>
              <w:bidi w:val="0"/>
              <w:adjustRightInd w:val="0"/>
              <w:snapToGrid/>
              <w:spacing w:before="63" w:beforeLines="20" w:line="360" w:lineRule="exact"/>
              <w:ind w:firstLine="480" w:firstLineChars="200"/>
              <w:jc w:val="left"/>
              <w:textAlignment w:val="baseline"/>
              <w:outlineLvl w:val="9"/>
              <w:rPr>
                <w:rFonts w:hint="default" w:ascii="宋体" w:hAnsi="宋体" w:eastAsia="宋体" w:cs="宋体"/>
                <w:szCs w:val="21"/>
                <w:lang w:val="en-US" w:eastAsia="zh-CN"/>
              </w:rPr>
            </w:pPr>
            <w:r>
              <w:rPr>
                <w:rFonts w:hint="eastAsia" w:ascii="宋体" w:hAnsi="宋体" w:eastAsia="宋体" w:cs="宋体"/>
                <w:szCs w:val="21"/>
                <w:lang w:val="en-US" w:eastAsia="zh-CN"/>
              </w:rPr>
              <w:t>第三档，设计及施工人员相对不足，施工水准一般，加工车间及各项设备工具相对薄弱。得：0-</w:t>
            </w:r>
            <w:r>
              <w:rPr>
                <w:rFonts w:hint="eastAsia" w:ascii="宋体" w:hAnsi="宋体" w:cs="宋体"/>
                <w:szCs w:val="21"/>
                <w:lang w:val="en-US" w:eastAsia="zh-CN"/>
              </w:rPr>
              <w:t>7.5</w:t>
            </w:r>
            <w:r>
              <w:rPr>
                <w:rFonts w:hint="eastAsia" w:ascii="宋体" w:hAnsi="宋体" w:eastAsia="宋体" w:cs="宋体"/>
                <w:szCs w:val="21"/>
                <w:lang w:val="en-US" w:eastAsia="zh-CN"/>
              </w:rPr>
              <w:t>分</w:t>
            </w:r>
            <w:r>
              <w:rPr>
                <w:rFonts w:hint="eastAsia" w:ascii="宋体" w:hAnsi="宋体" w:cs="宋体"/>
                <w:szCs w:val="21"/>
                <w:lang w:val="en-US" w:eastAsia="zh-CN"/>
              </w:rPr>
              <w:t>。</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0" w:hRule="atLeast"/>
          <w:jc w:val="center"/>
        </w:trPr>
        <w:tc>
          <w:tcPr>
            <w:tcW w:w="1428" w:type="dxa"/>
            <w:vMerge w:val="continue"/>
            <w:vAlign w:val="center"/>
          </w:tcPr>
          <w:p>
            <w:pPr>
              <w:spacing w:line="400" w:lineRule="exact"/>
              <w:jc w:val="center"/>
              <w:rPr>
                <w:rFonts w:ascii="宋体" w:hAnsi="宋体"/>
                <w:b/>
                <w:szCs w:val="24"/>
              </w:rPr>
            </w:pPr>
          </w:p>
        </w:tc>
        <w:tc>
          <w:tcPr>
            <w:tcW w:w="1429" w:type="dxa"/>
            <w:vAlign w:val="center"/>
          </w:tcPr>
          <w:p>
            <w:pPr>
              <w:spacing w:line="400" w:lineRule="exact"/>
              <w:jc w:val="center"/>
              <w:rPr>
                <w:rFonts w:hint="eastAsia" w:ascii="宋体" w:hAnsi="宋体"/>
                <w:b/>
                <w:szCs w:val="24"/>
                <w:lang w:eastAsia="zh-CN"/>
              </w:rPr>
            </w:pPr>
            <w:r>
              <w:rPr>
                <w:rFonts w:hint="eastAsia" w:ascii="宋体" w:hAnsi="宋体"/>
                <w:b/>
                <w:szCs w:val="24"/>
                <w:lang w:val="en-US" w:eastAsia="zh-CN"/>
              </w:rPr>
              <w:t>施工</w:t>
            </w:r>
            <w:r>
              <w:rPr>
                <w:rFonts w:hint="eastAsia" w:ascii="宋体" w:hAnsi="宋体"/>
                <w:b/>
                <w:szCs w:val="24"/>
                <w:lang w:eastAsia="zh-CN"/>
              </w:rPr>
              <w:t>团队</w:t>
            </w:r>
          </w:p>
          <w:p>
            <w:pPr>
              <w:spacing w:line="400" w:lineRule="exact"/>
              <w:jc w:val="center"/>
              <w:rPr>
                <w:rFonts w:ascii="宋体" w:hAnsi="宋体"/>
                <w:b/>
                <w:szCs w:val="24"/>
              </w:rPr>
            </w:pPr>
            <w:r>
              <w:rPr>
                <w:rFonts w:hint="eastAsia" w:ascii="宋体" w:hAnsi="宋体"/>
                <w:b/>
                <w:szCs w:val="24"/>
                <w:lang w:val="en-US" w:eastAsia="zh-CN"/>
              </w:rPr>
              <w:t>配置</w:t>
            </w:r>
          </w:p>
        </w:tc>
        <w:tc>
          <w:tcPr>
            <w:tcW w:w="953" w:type="dxa"/>
            <w:vAlign w:val="center"/>
          </w:tcPr>
          <w:p>
            <w:pPr>
              <w:spacing w:line="400" w:lineRule="exact"/>
              <w:jc w:val="center"/>
              <w:rPr>
                <w:rFonts w:hint="default" w:ascii="宋体" w:hAnsi="宋体" w:eastAsia="宋体"/>
                <w:b/>
                <w:szCs w:val="24"/>
                <w:lang w:val="en-US" w:eastAsia="zh-CN"/>
              </w:rPr>
            </w:pPr>
            <w:r>
              <w:rPr>
                <w:rFonts w:hint="eastAsia" w:ascii="宋体" w:hAnsi="宋体"/>
                <w:b/>
                <w:szCs w:val="24"/>
                <w:lang w:val="en-US" w:eastAsia="zh-CN"/>
              </w:rPr>
              <w:t>10</w:t>
            </w:r>
          </w:p>
        </w:tc>
        <w:tc>
          <w:tcPr>
            <w:tcW w:w="5420" w:type="dxa"/>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left"/>
              <w:textAlignment w:val="baseline"/>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根据供应商提供的项目实施团队的组织结构和人员配备优劣进行比较：</w:t>
            </w:r>
          </w:p>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left"/>
              <w:textAlignment w:val="baseline"/>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第一档，团队配置合理，团队人员具有相关专业资质占比不低于70%，专业性强，经验丰富，每增加一名具备专业资质人员，加1分。得7-10分；</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 xml:space="preserve">    第二档，团队配置较为合理，团队人员具有相关专业资质占比不低于40%，专业性较强，经验较丰富，每增加一名具备专业资质人员，加1分。得4-6.5分；</w:t>
            </w:r>
          </w:p>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left"/>
              <w:textAlignment w:val="baseline"/>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第三档，团队配置构成基本合理、专业性欠缺或低于其他供应商的，得0-3.5分。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jc w:val="center"/>
        </w:trPr>
        <w:tc>
          <w:tcPr>
            <w:tcW w:w="2857" w:type="dxa"/>
            <w:gridSpan w:val="2"/>
            <w:vAlign w:val="center"/>
          </w:tcPr>
          <w:p>
            <w:pPr>
              <w:spacing w:line="400" w:lineRule="exact"/>
              <w:jc w:val="center"/>
              <w:rPr>
                <w:rFonts w:ascii="宋体" w:hAnsi="宋体"/>
                <w:b/>
                <w:szCs w:val="24"/>
              </w:rPr>
            </w:pPr>
            <w:r>
              <w:rPr>
                <w:rFonts w:hint="eastAsia" w:ascii="宋体" w:hAnsi="宋体"/>
                <w:b/>
                <w:szCs w:val="24"/>
              </w:rPr>
              <w:t>合计</w:t>
            </w:r>
          </w:p>
        </w:tc>
        <w:tc>
          <w:tcPr>
            <w:tcW w:w="953" w:type="dxa"/>
            <w:vAlign w:val="center"/>
          </w:tcPr>
          <w:p>
            <w:pPr>
              <w:spacing w:line="400" w:lineRule="exact"/>
              <w:jc w:val="center"/>
              <w:rPr>
                <w:rFonts w:ascii="宋体" w:hAnsi="宋体"/>
                <w:b/>
                <w:szCs w:val="24"/>
              </w:rPr>
            </w:pPr>
            <w:r>
              <w:rPr>
                <w:rFonts w:hint="eastAsia" w:ascii="宋体" w:hAnsi="宋体"/>
                <w:b/>
                <w:szCs w:val="24"/>
              </w:rPr>
              <w:t>100</w:t>
            </w:r>
          </w:p>
        </w:tc>
        <w:tc>
          <w:tcPr>
            <w:tcW w:w="5420" w:type="dxa"/>
            <w:vAlign w:val="top"/>
          </w:tcPr>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left"/>
              <w:textAlignment w:val="baseline"/>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分档打分的，同档次打分最小分值差为0.5分。</w:t>
            </w:r>
          </w:p>
        </w:tc>
      </w:tr>
    </w:tbl>
    <w:p/>
    <w:sectPr>
      <w:pgSz w:w="11906" w:h="16838"/>
      <w:pgMar w:top="1803" w:right="1440" w:bottom="1803"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DD26AD"/>
    <w:rsid w:val="01E63109"/>
    <w:rsid w:val="06DE0669"/>
    <w:rsid w:val="0A5F19D4"/>
    <w:rsid w:val="1291261C"/>
    <w:rsid w:val="198B3FF6"/>
    <w:rsid w:val="1CF84072"/>
    <w:rsid w:val="20DE1FCF"/>
    <w:rsid w:val="23D575A0"/>
    <w:rsid w:val="24A866B2"/>
    <w:rsid w:val="24C23BFE"/>
    <w:rsid w:val="2F6F1EAC"/>
    <w:rsid w:val="328A5B17"/>
    <w:rsid w:val="37CD2516"/>
    <w:rsid w:val="3FB369F4"/>
    <w:rsid w:val="406F27E0"/>
    <w:rsid w:val="41826444"/>
    <w:rsid w:val="44E26E32"/>
    <w:rsid w:val="47DD26AD"/>
    <w:rsid w:val="4CD04143"/>
    <w:rsid w:val="4D84170A"/>
    <w:rsid w:val="52643FA2"/>
    <w:rsid w:val="53047E9B"/>
    <w:rsid w:val="55FA0951"/>
    <w:rsid w:val="57682D9F"/>
    <w:rsid w:val="5D7B3EF1"/>
    <w:rsid w:val="5DE53A3A"/>
    <w:rsid w:val="5E454415"/>
    <w:rsid w:val="5F1C38A9"/>
    <w:rsid w:val="6258550E"/>
    <w:rsid w:val="65BE1992"/>
    <w:rsid w:val="69D83714"/>
    <w:rsid w:val="6F7A1313"/>
    <w:rsid w:val="72D20803"/>
    <w:rsid w:val="7B325231"/>
    <w:rsid w:val="7C6C7EA1"/>
    <w:rsid w:val="7F2F3E8F"/>
    <w:rsid w:val="7FBB4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3">
    <w:name w:val="Body Text First Indent"/>
    <w:basedOn w:val="2"/>
    <w:qFormat/>
    <w:uiPriority w:val="0"/>
    <w:pPr>
      <w:spacing w:line="560" w:lineRule="exact"/>
      <w:ind w:leftChars="300" w:firstLine="880" w:firstLineChars="200"/>
      <w:jc w:val="left"/>
    </w:pPr>
    <w:rPr>
      <w:rFonts w:ascii="仿宋_GB2312" w:hAnsi="仿宋_GB2312" w:eastAsia="仿宋_GB2312" w:cs="Times New Roman"/>
      <w:sz w:val="32"/>
      <w:szCs w:val="24"/>
      <w:lang w:val="zh-CN" w:bidi="zh-CN"/>
    </w:rPr>
  </w:style>
  <w:style w:type="paragraph" w:styleId="4">
    <w:name w:val="Body Text Indent"/>
    <w:basedOn w:val="1"/>
    <w:qFormat/>
    <w:uiPriority w:val="0"/>
    <w:pPr>
      <w:spacing w:after="120" w:afterLines="0" w:afterAutospacing="0"/>
      <w:ind w:left="420" w:leftChars="200"/>
    </w:pPr>
  </w:style>
  <w:style w:type="paragraph" w:styleId="5">
    <w:name w:val="Body Text First Indent 2"/>
    <w:basedOn w:val="4"/>
    <w:next w:val="1"/>
    <w:qFormat/>
    <w:uiPriority w:val="0"/>
    <w:pPr>
      <w:keepNext/>
      <w:keepLines/>
      <w:spacing w:after="0" w:line="560" w:lineRule="exact"/>
      <w:ind w:left="0" w:leftChars="0" w:firstLine="480"/>
      <w:jc w:val="left"/>
      <w:outlineLvl w:val="3"/>
    </w:pPr>
    <w:rPr>
      <w:rFonts w:ascii="Times New Roman" w:hAnsi="Times New Roman" w:eastAsia="仿宋_GB2312" w:cs="Times New Roman"/>
      <w:bCs/>
      <w:sz w:val="32"/>
      <w:szCs w:val="28"/>
    </w:rPr>
  </w:style>
  <w:style w:type="paragraph" w:styleId="6">
    <w:name w:val="toc 2"/>
    <w:basedOn w:val="1"/>
    <w:next w:val="1"/>
    <w:qFormat/>
    <w:uiPriority w:val="0"/>
    <w:pPr>
      <w:tabs>
        <w:tab w:val="right" w:leader="dot" w:pos="8280"/>
      </w:tabs>
      <w:ind w:right="47" w:rightChars="47"/>
    </w:pPr>
  </w:style>
  <w:style w:type="paragraph" w:styleId="7">
    <w:name w:val="Normal (Web)"/>
    <w:basedOn w:val="1"/>
    <w:qFormat/>
    <w:uiPriority w:val="0"/>
    <w:pPr>
      <w:spacing w:beforeAutospacing="1" w:afterAutospacing="1"/>
      <w:jc w:val="left"/>
    </w:pPr>
    <w:rPr>
      <w:rFonts w:cs="Times New Roman"/>
      <w:kern w:val="0"/>
      <w:sz w:val="24"/>
    </w:rPr>
  </w:style>
  <w:style w:type="character" w:customStyle="1" w:styleId="10">
    <w:name w:val="bjh-p"/>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2021-04-26T06:26:00Z</dcterms:created>
  <dc:creator>沈义</dc:creator>
  <cp:lastModifiedBy>lenovo</cp:lastModifiedBy>
  <cp:lastPrinted>2021-06-15T03:24:18Z</cp:lastPrinted>
  <dcterms:modified xsi:type="dcterms:W3CDTF">2021-06-15T03:38:49Z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