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河北博物院公众责任保险及志愿者团体人身意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外伤害保险项目评审标准</w:t>
      </w:r>
    </w:p>
    <w:tbl>
      <w:tblPr>
        <w:tblStyle w:val="8"/>
        <w:tblpPr w:leftFromText="180" w:rightFromText="180" w:vertAnchor="text" w:horzAnchor="page" w:tblpX="1441" w:tblpY="733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报价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部分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商务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不能实质性满足重要商务要求的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/>
                <w:sz w:val="22"/>
                <w:szCs w:val="22"/>
              </w:rPr>
              <w:t>无效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宋体" w:hAnsi="宋体"/>
                <w:sz w:val="22"/>
                <w:szCs w:val="22"/>
              </w:rPr>
              <w:t>。在满足重要商务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宋体" w:hAnsi="宋体"/>
                <w:sz w:val="22"/>
                <w:szCs w:val="22"/>
              </w:rPr>
              <w:t>的基础上，对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供应商的</w:t>
            </w:r>
            <w:r>
              <w:rPr>
                <w:rFonts w:hint="eastAsia" w:ascii="宋体" w:hAnsi="宋体"/>
                <w:sz w:val="22"/>
                <w:szCs w:val="22"/>
              </w:rPr>
              <w:t>商务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宋体" w:hAnsi="宋体"/>
                <w:sz w:val="22"/>
                <w:szCs w:val="22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第二档，响应较全面、细致，满足采购需求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default" w:ascii="宋体" w:hAnsi="宋体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供应商需提近五年内公共场所相关的保险案例的合同扫描件。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此项最高得10分。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</w:t>
            </w:r>
            <w:r>
              <w:rPr>
                <w:rFonts w:ascii="宋体" w:hAnsi="宋体"/>
                <w:sz w:val="22"/>
                <w:szCs w:val="22"/>
              </w:rPr>
              <w:t>的售后服务</w:t>
            </w:r>
            <w:r>
              <w:rPr>
                <w:rFonts w:hint="eastAsia" w:ascii="宋体" w:hAnsi="宋体"/>
                <w:sz w:val="22"/>
                <w:szCs w:val="22"/>
              </w:rPr>
              <w:t>、技术支持</w:t>
            </w:r>
            <w:r>
              <w:rPr>
                <w:rFonts w:ascii="宋体" w:hAnsi="宋体"/>
                <w:sz w:val="22"/>
                <w:szCs w:val="22"/>
              </w:rPr>
              <w:t>能力与承诺</w:t>
            </w:r>
            <w:r>
              <w:rPr>
                <w:rFonts w:hint="eastAsia" w:ascii="宋体" w:hAnsi="宋体"/>
                <w:sz w:val="22"/>
                <w:szCs w:val="22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第一档，售后服务保障体系及措施完善，技术支持能力强，服务</w:t>
            </w:r>
            <w:r>
              <w:rPr>
                <w:rFonts w:ascii="宋体" w:hAnsi="宋体"/>
                <w:sz w:val="22"/>
                <w:szCs w:val="22"/>
              </w:rPr>
              <w:t>响应快，</w:t>
            </w:r>
            <w:r>
              <w:rPr>
                <w:rFonts w:hint="eastAsia" w:ascii="宋体" w:hAnsi="宋体"/>
                <w:sz w:val="22"/>
                <w:szCs w:val="22"/>
              </w:rPr>
              <w:t>响应程度高或优于采购需求的，得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2"/>
                <w:szCs w:val="22"/>
              </w:rPr>
              <w:t>分</w:t>
            </w:r>
            <w:r>
              <w:rPr>
                <w:rFonts w:ascii="宋体" w:hAnsi="宋体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分</w:t>
            </w:r>
            <w:r>
              <w:rPr>
                <w:rFonts w:ascii="宋体" w:hAnsi="宋体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</w:rPr>
              <w:t>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技术部分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（共50分）</w:t>
            </w: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技术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b/>
                <w:color w:val="00B05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不能实质性满足重要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技术参数</w:t>
            </w:r>
            <w:r>
              <w:rPr>
                <w:rFonts w:hint="eastAsia" w:ascii="宋体" w:hAnsi="宋体"/>
                <w:sz w:val="22"/>
                <w:szCs w:val="22"/>
              </w:rPr>
              <w:t>要求的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/>
                <w:sz w:val="22"/>
                <w:szCs w:val="22"/>
              </w:rPr>
              <w:t>无效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宋体" w:hAnsi="宋体"/>
                <w:sz w:val="22"/>
                <w:szCs w:val="22"/>
              </w:rPr>
              <w:t>。在满足重要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技术参数要求</w:t>
            </w:r>
            <w:r>
              <w:rPr>
                <w:rFonts w:hint="eastAsia" w:ascii="宋体" w:hAnsi="宋体"/>
                <w:sz w:val="22"/>
                <w:szCs w:val="22"/>
              </w:rPr>
              <w:t>的基础上，对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 w:val="22"/>
                <w:szCs w:val="22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13.6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第二档，响应较全面、细致，满足采购需求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13.5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 w:val="22"/>
                <w:szCs w:val="22"/>
              </w:rPr>
              <w:t>，得1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 w:val="22"/>
                <w:szCs w:val="22"/>
              </w:rPr>
              <w:t>， 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13.5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企业资质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hint="eastAsia"/>
                <w:sz w:val="22"/>
                <w:szCs w:val="18"/>
                <w:lang w:eastAsia="zh-CN"/>
              </w:rPr>
            </w:pPr>
            <w:r>
              <w:rPr>
                <w:rFonts w:hint="eastAsia"/>
                <w:sz w:val="22"/>
                <w:szCs w:val="18"/>
                <w:lang w:eastAsia="zh-CN"/>
              </w:rPr>
              <w:t>对供应商的资质情况、管理制度等进行评价：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第一档，</w:t>
            </w:r>
            <w:r>
              <w:rPr>
                <w:rFonts w:hint="eastAsia"/>
                <w:sz w:val="22"/>
                <w:szCs w:val="18"/>
                <w:lang w:eastAsia="zh-CN"/>
              </w:rPr>
              <w:t>资质完备，在公司管理、服务管理、财务管理、制度规范等方面优于其他供应商的，得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6.6-10分；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第二档，</w:t>
            </w:r>
            <w:r>
              <w:rPr>
                <w:rFonts w:hint="eastAsia"/>
                <w:sz w:val="22"/>
                <w:szCs w:val="18"/>
                <w:lang w:eastAsia="zh-CN"/>
              </w:rPr>
              <w:t>资质较完备，公司管理、服务管理、财务管理、制度规范等方面可行、合理的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</w:t>
            </w:r>
            <w:r>
              <w:rPr>
                <w:rFonts w:hint="eastAsia"/>
                <w:sz w:val="22"/>
                <w:szCs w:val="18"/>
                <w:lang w:eastAsia="zh-CN"/>
              </w:rPr>
              <w:t>资质一般，公司管理、服务管理、财务管理、制度规范等方面一般的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100</w:t>
            </w:r>
          </w:p>
        </w:tc>
        <w:tc>
          <w:tcPr>
            <w:tcW w:w="5420" w:type="dxa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分档打分的，同档次打分最小分值差为0.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分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009072B"/>
    <w:rsid w:val="00AF059E"/>
    <w:rsid w:val="01E63109"/>
    <w:rsid w:val="03524C30"/>
    <w:rsid w:val="0D943527"/>
    <w:rsid w:val="0E7C659D"/>
    <w:rsid w:val="13AC3D9B"/>
    <w:rsid w:val="23D575A0"/>
    <w:rsid w:val="24A866B2"/>
    <w:rsid w:val="33A038AA"/>
    <w:rsid w:val="372D1743"/>
    <w:rsid w:val="3FB369F4"/>
    <w:rsid w:val="41463C25"/>
    <w:rsid w:val="41CB7ABD"/>
    <w:rsid w:val="4779568A"/>
    <w:rsid w:val="47DD26AD"/>
    <w:rsid w:val="4F0B0617"/>
    <w:rsid w:val="53EC2C0A"/>
    <w:rsid w:val="55FA0951"/>
    <w:rsid w:val="57682D9F"/>
    <w:rsid w:val="57D55A2E"/>
    <w:rsid w:val="59FD470C"/>
    <w:rsid w:val="5DD30645"/>
    <w:rsid w:val="5DE53A3A"/>
    <w:rsid w:val="5E9F2AE6"/>
    <w:rsid w:val="5F712372"/>
    <w:rsid w:val="601C5D9D"/>
    <w:rsid w:val="686D24FB"/>
    <w:rsid w:val="69D83714"/>
    <w:rsid w:val="6B58643D"/>
    <w:rsid w:val="6BEE3CEA"/>
    <w:rsid w:val="6C0625DF"/>
    <w:rsid w:val="7AA03266"/>
    <w:rsid w:val="7B3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="300" w:leftChars="300" w:firstLine="880" w:firstLineChars="200"/>
    </w:pPr>
    <w:rPr>
      <w:rFonts w:ascii="仿宋_GB2312" w:hAnsi="仿宋_GB2312" w:eastAsia="仿宋_GB2312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outlineLvl w:val="3"/>
    </w:pPr>
    <w:rPr>
      <w:rFonts w:eastAsia="仿宋_GB2312"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123</Characters>
  <Lines>1</Lines>
  <Paragraphs>2</Paragraphs>
  <TotalTime>4</TotalTime>
  <ScaleCrop>false</ScaleCrop>
  <LinksUpToDate>false</LinksUpToDate>
  <CharactersWithSpaces>1094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沈义</cp:lastModifiedBy>
  <dcterms:modified xsi:type="dcterms:W3CDTF">2021-08-25T07:42:56Z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B38FF94097D243618F50DEE11E594380</vt:lpwstr>
  </property>
</Properties>
</file>