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2"/>
          <w:szCs w:val="32"/>
          <w:lang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河北博物院“2021年中原五省博物馆教育培训”服务项目</w:t>
      </w:r>
    </w:p>
    <w:p>
      <w:pPr>
        <w:adjustRightInd/>
        <w:spacing w:line="240" w:lineRule="auto"/>
        <w:jc w:val="center"/>
        <w:textAlignment w:val="auto"/>
        <w:rPr>
          <w:rFonts w:hint="eastAsia" w:eastAsia="宋体"/>
          <w:b/>
          <w:bCs/>
          <w:kern w:val="2"/>
          <w:sz w:val="32"/>
          <w:szCs w:val="32"/>
          <w:lang w:eastAsia="zh-CN"/>
        </w:rPr>
      </w:pPr>
      <w:r>
        <w:rPr>
          <w:rFonts w:hint="eastAsia" w:eastAsia="宋体"/>
          <w:b/>
          <w:bCs/>
          <w:kern w:val="2"/>
          <w:sz w:val="32"/>
          <w:szCs w:val="32"/>
          <w:lang w:eastAsia="zh-CN"/>
        </w:rPr>
        <w:t>评审标准</w:t>
      </w:r>
    </w:p>
    <w:p>
      <w:pPr>
        <w:pStyle w:val="2"/>
        <w:jc w:val="center"/>
        <w:rPr>
          <w:rFonts w:hint="default"/>
          <w:lang w:val="en-US" w:eastAsia="zh-CN"/>
        </w:rPr>
      </w:pPr>
      <w:r>
        <w:rPr>
          <w:rFonts w:hint="eastAsia"/>
          <w:lang w:val="en-US" w:eastAsia="zh-CN"/>
        </w:rPr>
        <w:t xml:space="preserve">  </w:t>
      </w:r>
    </w:p>
    <w:tbl>
      <w:tblPr>
        <w:tblStyle w:val="10"/>
        <w:tblW w:w="9242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30"/>
        <w:gridCol w:w="1431"/>
        <w:gridCol w:w="954"/>
        <w:gridCol w:w="542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tblHeader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类别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评审项目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pacing w:val="-8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pacing w:val="-8"/>
                <w:sz w:val="22"/>
                <w:szCs w:val="22"/>
                <w:highlight w:val="none"/>
              </w:rPr>
              <w:t>标准分</w:t>
            </w:r>
          </w:p>
        </w:tc>
        <w:tc>
          <w:tcPr>
            <w:tcW w:w="5427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评分标准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65" w:hRule="atLeast"/>
          <w:jc w:val="center"/>
        </w:trPr>
        <w:tc>
          <w:tcPr>
            <w:tcW w:w="1430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报价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br/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>30分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eastAsia="zh-CN"/>
              </w:rPr>
              <w:t>）</w:t>
            </w: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报价分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 w:eastAsia="宋体"/>
                <w:b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5427" w:type="dxa"/>
            <w:vAlign w:val="top"/>
          </w:tcPr>
          <w:p>
            <w:pPr>
              <w:widowControl w:val="0"/>
              <w:wordWrap/>
              <w:adjustRightInd w:val="0"/>
              <w:snapToGrid/>
              <w:spacing w:line="360" w:lineRule="exact"/>
              <w:ind w:firstLine="44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widowControl w:val="0"/>
              <w:wordWrap/>
              <w:adjustRightInd w:val="0"/>
              <w:snapToGrid/>
              <w:spacing w:line="360" w:lineRule="exact"/>
              <w:ind w:firstLine="440" w:firstLineChars="200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投标人报价得分＝（有效最低投标报价／该投标人报价）×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  <w:t>（保留1位小数点，第2位四舍五入，下同）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10" w:hRule="atLeast"/>
          <w:jc w:val="center"/>
        </w:trPr>
        <w:tc>
          <w:tcPr>
            <w:tcW w:w="1430" w:type="dxa"/>
            <w:vMerge w:val="restart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spacing w:line="400" w:lineRule="exact"/>
              <w:ind w:firstLine="221" w:firstLineChars="100"/>
              <w:jc w:val="both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商务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</w:rPr>
              <w:t>部分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</w:rPr>
              <w:br/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eastAsia="zh-CN"/>
              </w:rPr>
              <w:t>（共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20分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eastAsia="zh-CN"/>
              </w:rPr>
              <w:t>）</w:t>
            </w: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2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pStyle w:val="3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spacing w:line="400" w:lineRule="exact"/>
              <w:jc w:val="both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</w:rPr>
              <w:t>商务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eastAsia="zh-CN"/>
              </w:rPr>
              <w:t>要求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</w:rPr>
              <w:t>响应情况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default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10</w:t>
            </w:r>
          </w:p>
        </w:tc>
        <w:tc>
          <w:tcPr>
            <w:tcW w:w="5427" w:type="dxa"/>
            <w:vAlign w:val="top"/>
          </w:tcPr>
          <w:p>
            <w:pPr>
              <w:widowControl w:val="0"/>
              <w:wordWrap/>
              <w:adjustRightInd w:val="0"/>
              <w:snapToGrid/>
              <w:spacing w:line="360" w:lineRule="exact"/>
              <w:ind w:firstLine="44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widowControl w:val="0"/>
              <w:wordWrap/>
              <w:adjustRightInd w:val="0"/>
              <w:snapToGrid/>
              <w:spacing w:line="360" w:lineRule="exact"/>
              <w:ind w:firstLine="44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</w:p>
          <w:p>
            <w:pPr>
              <w:widowControl w:val="0"/>
              <w:wordWrap/>
              <w:adjustRightInd w:val="0"/>
              <w:snapToGrid/>
              <w:spacing w:line="360" w:lineRule="exact"/>
              <w:ind w:firstLine="44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不能实质性满足重要商务要求的为无效响应。在满足重要商务要求的基础上，对供应商的商务要求响应程度进行综合比较评价：</w:t>
            </w:r>
          </w:p>
          <w:p>
            <w:pPr>
              <w:widowControl w:val="0"/>
              <w:wordWrap/>
              <w:adjustRightInd w:val="0"/>
              <w:snapToGrid/>
              <w:spacing w:line="360" w:lineRule="exact"/>
              <w:ind w:firstLine="44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第一档，响应全面，描述完备、细致，完全满足且部分优于采购需求的，得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7-10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分；</w:t>
            </w:r>
          </w:p>
          <w:p>
            <w:pPr>
              <w:widowControl w:val="0"/>
              <w:wordWrap/>
              <w:adjustRightInd w:val="0"/>
              <w:snapToGrid/>
              <w:spacing w:line="360" w:lineRule="exact"/>
              <w:ind w:firstLine="44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第二档，响应较全面、细致，满足采购需求的，得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4-6.9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分；</w:t>
            </w:r>
          </w:p>
          <w:p>
            <w:pPr>
              <w:widowControl w:val="0"/>
              <w:wordWrap/>
              <w:adjustRightInd w:val="0"/>
              <w:snapToGrid/>
              <w:spacing w:line="360" w:lineRule="exact"/>
              <w:ind w:firstLine="44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第三档，基本响应采购需求，但有缺陷或部分一般指标不满足需求的，得0-</w:t>
            </w:r>
            <w:r>
              <w:rPr>
                <w:rFonts w:hint="eastAsia" w:ascii="宋体" w:hAnsi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3.9</w:t>
            </w:r>
            <w:r>
              <w:rPr>
                <w:rFonts w:hint="eastAsia" w:ascii="宋体" w:hAnsi="宋体" w:eastAsia="宋体" w:cs="宋体"/>
                <w:sz w:val="22"/>
                <w:szCs w:val="22"/>
                <w:highlight w:val="none"/>
                <w:shd w:val="clear" w:color="auto" w:fill="auto"/>
                <w:lang w:val="en-US" w:eastAsia="zh-CN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00" w:hRule="atLeast"/>
          <w:jc w:val="center"/>
        </w:trPr>
        <w:tc>
          <w:tcPr>
            <w:tcW w:w="1430" w:type="dxa"/>
            <w:vMerge w:val="continue"/>
            <w:tcBorders>
              <w:bottom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 w:val="0"/>
                <w:bCs/>
                <w:sz w:val="22"/>
                <w:szCs w:val="22"/>
                <w:highlight w:val="none"/>
                <w:lang w:val="en-US" w:eastAsia="zh-CN"/>
              </w:rPr>
            </w:pPr>
          </w:p>
        </w:tc>
        <w:tc>
          <w:tcPr>
            <w:tcW w:w="1431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 w:eastAsia="宋体"/>
                <w:b/>
                <w:sz w:val="22"/>
                <w:szCs w:val="22"/>
                <w:highlight w:val="none"/>
                <w:lang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同类业绩</w:t>
            </w:r>
          </w:p>
        </w:tc>
        <w:tc>
          <w:tcPr>
            <w:tcW w:w="954" w:type="dxa"/>
            <w:vAlign w:val="center"/>
          </w:tcPr>
          <w:p>
            <w:pPr>
              <w:pStyle w:val="2"/>
              <w:jc w:val="center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b/>
                <w:bCs/>
                <w:sz w:val="22"/>
                <w:szCs w:val="22"/>
                <w:highlight w:val="none"/>
                <w:lang w:val="en-US" w:eastAsia="zh-CN"/>
              </w:rPr>
              <w:t>10</w:t>
            </w:r>
          </w:p>
        </w:tc>
        <w:tc>
          <w:tcPr>
            <w:tcW w:w="5427" w:type="dxa"/>
            <w:vAlign w:val="center"/>
          </w:tcPr>
          <w:p>
            <w:pPr>
              <w:widowControl w:val="0"/>
              <w:wordWrap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/>
                <w:sz w:val="22"/>
                <w:szCs w:val="18"/>
                <w:highlight w:val="none"/>
                <w:lang w:val="en-US" w:eastAsia="zh-CN"/>
              </w:rPr>
              <w:t>供应商需提近三年内相关的培训承办案例的合同扫描件。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highlight w:val="none"/>
                <w:shd w:val="clear" w:color="070000" w:fill="FFFFFF"/>
              </w:rPr>
              <w:t>每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highlight w:val="none"/>
                <w:shd w:val="clear" w:color="070000" w:fill="FFFFFF"/>
                <w:lang w:eastAsia="zh-CN"/>
              </w:rPr>
              <w:t>提交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highlight w:val="none"/>
                <w:shd w:val="clear" w:color="070000" w:fill="FFFFFF"/>
                <w:lang w:val="en-US" w:eastAsia="zh-CN"/>
              </w:rPr>
              <w:t>1个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highlight w:val="none"/>
                <w:shd w:val="clear" w:color="070000" w:fill="FFFFFF"/>
              </w:rPr>
              <w:t>得</w:t>
            </w:r>
            <w:r>
              <w:rPr>
                <w:rFonts w:hint="eastAsia" w:ascii="宋体" w:hAnsi="宋体" w:cs="宋体"/>
                <w:i w:val="0"/>
                <w:caps w:val="0"/>
                <w:color w:val="000000"/>
                <w:spacing w:val="0"/>
                <w:sz w:val="22"/>
                <w:szCs w:val="22"/>
                <w:highlight w:val="none"/>
                <w:shd w:val="clear" w:color="070000" w:fill="FFFFFF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highlight w:val="none"/>
                <w:shd w:val="clear" w:color="070000" w:fill="FFFFFF"/>
              </w:rPr>
              <w:t>分</w:t>
            </w:r>
            <w:r>
              <w:rPr>
                <w:rFonts w:hint="eastAsia" w:ascii="宋体" w:hAnsi="宋体" w:eastAsia="宋体" w:cs="宋体"/>
                <w:i w:val="0"/>
                <w:caps w:val="0"/>
                <w:color w:val="000000"/>
                <w:spacing w:val="0"/>
                <w:sz w:val="22"/>
                <w:szCs w:val="22"/>
                <w:highlight w:val="none"/>
                <w:shd w:val="clear" w:color="070000" w:fill="FFFFFF"/>
                <w:lang w:eastAsia="zh-CN"/>
              </w:rPr>
              <w:t>，</w:t>
            </w:r>
            <w:r>
              <w:rPr>
                <w:rFonts w:hint="eastAsia"/>
                <w:sz w:val="22"/>
                <w:szCs w:val="18"/>
                <w:highlight w:val="none"/>
                <w:lang w:val="en-US" w:eastAsia="zh-CN"/>
              </w:rPr>
              <w:t>此项最高得10分。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85" w:hRule="atLeast"/>
          <w:jc w:val="center"/>
        </w:trPr>
        <w:tc>
          <w:tcPr>
            <w:tcW w:w="143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pStyle w:val="3"/>
              <w:rPr>
                <w:rFonts w:hint="eastAsia"/>
                <w:sz w:val="22"/>
                <w:szCs w:val="22"/>
                <w:highlight w:val="none"/>
                <w:lang w:val="en-US" w:eastAsia="zh-CN"/>
              </w:rPr>
            </w:pPr>
          </w:p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 xml:space="preserve"> 技术部分</w:t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br/>
            </w: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>（共50分）</w:t>
            </w:r>
          </w:p>
        </w:tc>
        <w:tc>
          <w:tcPr>
            <w:tcW w:w="1431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eastAsia="zh-CN"/>
              </w:rPr>
              <w:t>项目实施方案</w:t>
            </w:r>
          </w:p>
        </w:tc>
        <w:tc>
          <w:tcPr>
            <w:tcW w:w="954" w:type="dxa"/>
            <w:vAlign w:val="center"/>
          </w:tcPr>
          <w:p>
            <w:pPr>
              <w:widowControl w:val="0"/>
              <w:wordWrap/>
              <w:adjustRightInd w:val="0"/>
              <w:snapToGrid/>
              <w:spacing w:line="360" w:lineRule="exact"/>
              <w:jc w:val="center"/>
              <w:textAlignment w:val="baseline"/>
              <w:rPr>
                <w:rFonts w:hint="default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>30</w:t>
            </w:r>
          </w:p>
        </w:tc>
        <w:tc>
          <w:tcPr>
            <w:tcW w:w="5427" w:type="dxa"/>
            <w:vAlign w:val="top"/>
          </w:tcPr>
          <w:p>
            <w:pPr>
              <w:widowControl w:val="0"/>
              <w:wordWrap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rPr>
                <w:rFonts w:hint="eastAsia" w:ascii="宋体" w:hAnsi="宋体"/>
                <w:sz w:val="22"/>
                <w:szCs w:val="22"/>
                <w:highlight w:val="none"/>
              </w:rPr>
            </w:pPr>
          </w:p>
          <w:p>
            <w:pPr>
              <w:widowControl w:val="0"/>
              <w:wordWrap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根据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供应商提供的项目实施方案进行评价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：</w:t>
            </w:r>
          </w:p>
          <w:p>
            <w:pPr>
              <w:widowControl w:val="0"/>
              <w:wordWrap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第一档，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培训实施方案安排科学、住宿酒店及培训会场选择优质，培训保障措施完善有力的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，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会议宣发方案及设计优秀，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得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21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30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分；</w:t>
            </w:r>
          </w:p>
          <w:p>
            <w:pPr>
              <w:widowControl w:val="0"/>
              <w:wordWrap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第二档，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培训实施方案安排基本合理、住宿酒店及培训会场选择基本满足使用要求，培训保障措施基本具备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，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会议宣发方案及设计基本满足需要，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得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10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20.9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分；</w:t>
            </w:r>
          </w:p>
          <w:p>
            <w:pPr>
              <w:widowControl w:val="0"/>
              <w:wordWrap/>
              <w:adjustRightInd w:val="0"/>
              <w:snapToGrid/>
              <w:spacing w:line="360" w:lineRule="exact"/>
              <w:ind w:firstLine="440" w:firstLineChars="200"/>
              <w:jc w:val="left"/>
              <w:textAlignment w:val="baseline"/>
              <w:outlineLvl w:val="9"/>
              <w:rPr>
                <w:rFonts w:hint="default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第三档，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培训实施方案安排不合理、住宿酒店及培训会场选择不能满足使用要求，培训保障措施不具备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，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会议宣发方案及设计不能满足需要，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得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0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9.9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55" w:hRule="atLeast"/>
          <w:jc w:val="center"/>
        </w:trPr>
        <w:tc>
          <w:tcPr>
            <w:tcW w:w="143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400" w:lineRule="exact"/>
              <w:jc w:val="center"/>
              <w:rPr>
                <w:rFonts w:ascii="宋体" w:hAnsi="宋体"/>
                <w:b/>
                <w:sz w:val="22"/>
                <w:szCs w:val="22"/>
                <w:highlight w:val="none"/>
              </w:rPr>
            </w:pPr>
          </w:p>
        </w:tc>
        <w:tc>
          <w:tcPr>
            <w:tcW w:w="1431" w:type="dxa"/>
            <w:tcBorders>
              <w:left w:val="single" w:color="auto" w:sz="4" w:space="0"/>
            </w:tcBorders>
            <w:vAlign w:val="center"/>
          </w:tcPr>
          <w:p>
            <w:pPr>
              <w:widowControl w:val="0"/>
              <w:wordWrap/>
              <w:adjustRightInd w:val="0"/>
              <w:snapToGrid/>
              <w:spacing w:line="360" w:lineRule="exact"/>
              <w:jc w:val="center"/>
              <w:textAlignment w:val="baseline"/>
              <w:rPr>
                <w:rFonts w:hint="eastAsia"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highlight w:val="none"/>
              </w:rPr>
              <w:t>团队配置</w:t>
            </w:r>
          </w:p>
        </w:tc>
        <w:tc>
          <w:tcPr>
            <w:tcW w:w="954" w:type="dxa"/>
            <w:vAlign w:val="center"/>
          </w:tcPr>
          <w:p>
            <w:pPr>
              <w:widowControl w:val="0"/>
              <w:wordWrap/>
              <w:adjustRightInd w:val="0"/>
              <w:snapToGrid/>
              <w:spacing w:line="360" w:lineRule="exact"/>
              <w:jc w:val="center"/>
              <w:textAlignment w:val="baseline"/>
              <w:rPr>
                <w:rFonts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b/>
                <w:sz w:val="22"/>
                <w:szCs w:val="22"/>
                <w:highlight w:val="none"/>
                <w:lang w:val="en-US" w:eastAsia="zh-CN"/>
              </w:rPr>
              <w:t>20</w:t>
            </w:r>
          </w:p>
        </w:tc>
        <w:tc>
          <w:tcPr>
            <w:tcW w:w="5427" w:type="dxa"/>
            <w:vAlign w:val="top"/>
          </w:tcPr>
          <w:p>
            <w:pPr>
              <w:widowControl w:val="0"/>
              <w:wordWrap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outlineLvl w:val="9"/>
              <w:rPr>
                <w:rFonts w:hint="eastAsia" w:ascii="宋体" w:hAnsi="宋体"/>
                <w:sz w:val="22"/>
                <w:szCs w:val="22"/>
                <w:highlight w:val="none"/>
              </w:rPr>
            </w:pPr>
          </w:p>
          <w:p>
            <w:pPr>
              <w:widowControl w:val="0"/>
              <w:wordWrap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  <w:highlight w:val="none"/>
              </w:rPr>
            </w:pPr>
            <w:bookmarkStart w:id="0" w:name="_GoBack"/>
            <w:bookmarkEnd w:id="0"/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不能实质性满足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本项目的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要求的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为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无效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响应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。在满足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项目要求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的基础上，对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供应商的团队配置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响应程度进行综合比较评价：</w:t>
            </w:r>
          </w:p>
          <w:p>
            <w:pPr>
              <w:widowControl w:val="0"/>
              <w:wordWrap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第一档，团队配置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科学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，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人员配置充足，会议设备配置齐全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，得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13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-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20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分；</w:t>
            </w:r>
          </w:p>
          <w:p>
            <w:pPr>
              <w:widowControl w:val="0"/>
              <w:wordWrap/>
              <w:adjustRightInd w:val="0"/>
              <w:snapToGrid/>
              <w:spacing w:line="360" w:lineRule="exact"/>
              <w:ind w:firstLine="440" w:firstLineChars="200"/>
              <w:jc w:val="both"/>
              <w:textAlignment w:val="baseline"/>
              <w:outlineLvl w:val="9"/>
              <w:rPr>
                <w:rFonts w:ascii="宋体" w:hAnsi="宋体"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第二档，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团队配置基本合理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，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人员配置基本够用，会议设备配置基本满足使用，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得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8-12.9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分；</w:t>
            </w:r>
          </w:p>
          <w:p>
            <w:pPr>
              <w:widowControl w:val="0"/>
              <w:wordWrap/>
              <w:adjustRightInd w:val="0"/>
              <w:snapToGrid/>
              <w:spacing w:line="360" w:lineRule="exact"/>
              <w:ind w:firstLine="440" w:firstLineChars="200"/>
              <w:jc w:val="left"/>
              <w:textAlignment w:val="baseline"/>
              <w:outlineLvl w:val="9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第三档，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团队配置不合理，人员配置不满足要求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，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eastAsia="zh-CN"/>
              </w:rPr>
              <w:t>会议设计设备配置不能满足使用，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得0-</w:t>
            </w:r>
            <w:r>
              <w:rPr>
                <w:rFonts w:hint="eastAsia" w:ascii="宋体" w:hAnsi="宋体"/>
                <w:sz w:val="22"/>
                <w:szCs w:val="22"/>
                <w:highlight w:val="none"/>
                <w:lang w:val="en-US" w:eastAsia="zh-CN"/>
              </w:rPr>
              <w:t>7.9</w:t>
            </w:r>
            <w:r>
              <w:rPr>
                <w:rFonts w:hint="eastAsia" w:ascii="宋体" w:hAnsi="宋体"/>
                <w:sz w:val="22"/>
                <w:szCs w:val="22"/>
                <w:highlight w:val="none"/>
              </w:rPr>
              <w:t>分。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8" w:hRule="atLeast"/>
          <w:jc w:val="center"/>
        </w:trPr>
        <w:tc>
          <w:tcPr>
            <w:tcW w:w="2861" w:type="dxa"/>
            <w:gridSpan w:val="2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highlight w:val="none"/>
                <w:lang w:val="en-US" w:eastAsia="zh-CN"/>
              </w:rPr>
              <w:t>合计</w:t>
            </w:r>
          </w:p>
        </w:tc>
        <w:tc>
          <w:tcPr>
            <w:tcW w:w="954" w:type="dxa"/>
            <w:vAlign w:val="center"/>
          </w:tcPr>
          <w:p>
            <w:pPr>
              <w:spacing w:line="400" w:lineRule="exact"/>
              <w:jc w:val="center"/>
              <w:rPr>
                <w:rFonts w:hint="eastAsia" w:ascii="宋体" w:hAnsi="宋体"/>
                <w:b/>
                <w:sz w:val="22"/>
                <w:szCs w:val="22"/>
                <w:highlight w:val="none"/>
              </w:rPr>
            </w:pPr>
            <w:r>
              <w:rPr>
                <w:rFonts w:hint="eastAsia" w:ascii="宋体" w:hAnsi="宋体" w:eastAsia="宋体" w:cs="Times New Roman"/>
                <w:b/>
                <w:szCs w:val="24"/>
                <w:highlight w:val="none"/>
                <w:lang w:val="en-US" w:eastAsia="zh-CN"/>
              </w:rPr>
              <w:t>100</w:t>
            </w:r>
          </w:p>
        </w:tc>
        <w:tc>
          <w:tcPr>
            <w:tcW w:w="5427" w:type="dxa"/>
            <w:vAlign w:val="center"/>
          </w:tcPr>
          <w:p>
            <w:pPr>
              <w:spacing w:line="400" w:lineRule="exact"/>
              <w:jc w:val="both"/>
              <w:rPr>
                <w:rFonts w:hint="eastAsia" w:ascii="宋体" w:hAnsi="宋体" w:eastAsia="宋体" w:cs="宋体"/>
                <w:sz w:val="22"/>
                <w:szCs w:val="22"/>
                <w:highlight w:val="none"/>
                <w:lang w:val="en-US" w:eastAsia="zh-CN"/>
              </w:rPr>
            </w:pP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  <w:t>分档打分的，同档次打分最小分值差为0.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  <w:lang w:val="en-US" w:eastAsia="zh-CN"/>
              </w:rPr>
              <w:t>1</w:t>
            </w:r>
            <w:r>
              <w:rPr>
                <w:rFonts w:hint="eastAsia" w:ascii="宋体" w:hAnsi="宋体" w:eastAsia="宋体" w:cs="Times New Roman"/>
                <w:sz w:val="22"/>
                <w:szCs w:val="22"/>
                <w:highlight w:val="none"/>
              </w:rPr>
              <w:t>分</w:t>
            </w:r>
          </w:p>
        </w:tc>
      </w:tr>
    </w:tbl>
    <w:p/>
    <w:sectPr>
      <w:pgSz w:w="11906" w:h="16838"/>
      <w:pgMar w:top="1803" w:right="1440" w:bottom="1803" w:left="1440" w:header="851" w:footer="992" w:gutter="0"/>
      <w:pgBorders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gBorders>
      <w:cols w:space="720" w:num="1"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47DD26AD"/>
    <w:rsid w:val="01E63109"/>
    <w:rsid w:val="06DE0669"/>
    <w:rsid w:val="0A5F19D4"/>
    <w:rsid w:val="1291261C"/>
    <w:rsid w:val="198B3FF6"/>
    <w:rsid w:val="1CF84072"/>
    <w:rsid w:val="20DE1FCF"/>
    <w:rsid w:val="21A861E3"/>
    <w:rsid w:val="23D575A0"/>
    <w:rsid w:val="24A866B2"/>
    <w:rsid w:val="24C23BFE"/>
    <w:rsid w:val="2F6F1EAC"/>
    <w:rsid w:val="328A5B17"/>
    <w:rsid w:val="33DB3199"/>
    <w:rsid w:val="37CD2516"/>
    <w:rsid w:val="39BB7346"/>
    <w:rsid w:val="3A2164F0"/>
    <w:rsid w:val="3FB369F4"/>
    <w:rsid w:val="406F27E0"/>
    <w:rsid w:val="41164838"/>
    <w:rsid w:val="41826444"/>
    <w:rsid w:val="44E26E32"/>
    <w:rsid w:val="47DD26AD"/>
    <w:rsid w:val="4CD04143"/>
    <w:rsid w:val="4D84170A"/>
    <w:rsid w:val="52643FA2"/>
    <w:rsid w:val="53047E9B"/>
    <w:rsid w:val="55FA0951"/>
    <w:rsid w:val="57682D9F"/>
    <w:rsid w:val="5D7B3EF1"/>
    <w:rsid w:val="5DE53A3A"/>
    <w:rsid w:val="5E454415"/>
    <w:rsid w:val="5F1C38A9"/>
    <w:rsid w:val="6258550E"/>
    <w:rsid w:val="65BE1992"/>
    <w:rsid w:val="69D83714"/>
    <w:rsid w:val="6F7A1313"/>
    <w:rsid w:val="72D20803"/>
    <w:rsid w:val="7B325231"/>
    <w:rsid w:val="7C2F0A8C"/>
    <w:rsid w:val="7C6C7EA1"/>
    <w:rsid w:val="7F2F3E8F"/>
    <w:rsid w:val="7FBB46F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semiHidden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qFormat="1"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adjustRightInd w:val="0"/>
      <w:spacing w:line="360" w:lineRule="atLeast"/>
      <w:textAlignment w:val="baseline"/>
    </w:pPr>
    <w:rPr>
      <w:rFonts w:ascii="Times New Roman" w:hAnsi="Times New Roman" w:eastAsia="宋体" w:cs="Times New Roman"/>
      <w:sz w:val="24"/>
      <w:lang w:val="en-US" w:eastAsia="zh-CN" w:bidi="ar-SA"/>
    </w:rPr>
  </w:style>
  <w:style w:type="paragraph" w:styleId="4">
    <w:name w:val="heading 4"/>
    <w:next w:val="1"/>
    <w:unhideWhenUsed/>
    <w:qFormat/>
    <w:uiPriority w:val="0"/>
    <w:pPr>
      <w:spacing w:before="100" w:beforeAutospacing="1" w:after="100" w:afterAutospacing="1"/>
      <w:jc w:val="left"/>
    </w:pPr>
    <w:rPr>
      <w:rFonts w:hint="eastAsia" w:ascii="宋体" w:hAnsi="宋体" w:eastAsia="宋体" w:cs="宋体"/>
      <w:b/>
      <w:kern w:val="0"/>
      <w:sz w:val="24"/>
      <w:szCs w:val="24"/>
      <w:lang w:val="en-US" w:eastAsia="zh-CN" w:bidi="ar-SA"/>
    </w:rPr>
  </w:style>
  <w:style w:type="character" w:default="1" w:styleId="9">
    <w:name w:val="Default Paragraph Font"/>
    <w:semiHidden/>
    <w:qFormat/>
    <w:uiPriority w:val="0"/>
  </w:style>
  <w:style w:type="table" w:default="1" w:styleId="10">
    <w:name w:val="Normal Table"/>
    <w:semiHidden/>
    <w:qFormat/>
    <w:uiPriority w:val="0"/>
    <w:tblPr>
      <w:tblStyle w:val="10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Body Text"/>
    <w:basedOn w:val="1"/>
    <w:next w:val="3"/>
    <w:qFormat/>
    <w:uiPriority w:val="0"/>
    <w:pPr>
      <w:spacing w:after="120" w:afterLines="0" w:afterAutospacing="0"/>
    </w:pPr>
  </w:style>
  <w:style w:type="paragraph" w:styleId="3">
    <w:name w:val="toc 2"/>
    <w:basedOn w:val="1"/>
    <w:next w:val="1"/>
    <w:qFormat/>
    <w:uiPriority w:val="0"/>
    <w:pPr>
      <w:tabs>
        <w:tab w:val="right" w:leader="dot" w:pos="8280"/>
      </w:tabs>
      <w:ind w:right="47" w:rightChars="47"/>
    </w:pPr>
  </w:style>
  <w:style w:type="paragraph" w:styleId="5">
    <w:name w:val="Body Text First Indent"/>
    <w:basedOn w:val="2"/>
    <w:qFormat/>
    <w:uiPriority w:val="0"/>
    <w:pPr>
      <w:spacing w:line="560" w:lineRule="exact"/>
      <w:ind w:leftChars="300" w:firstLine="880" w:firstLineChars="200"/>
      <w:jc w:val="left"/>
    </w:pPr>
    <w:rPr>
      <w:rFonts w:ascii="仿宋_GB2312" w:hAnsi="仿宋_GB2312" w:eastAsia="仿宋_GB2312" w:cs="Times New Roman"/>
      <w:sz w:val="32"/>
      <w:szCs w:val="24"/>
      <w:lang w:val="zh-CN" w:bidi="zh-CN"/>
    </w:rPr>
  </w:style>
  <w:style w:type="paragraph" w:styleId="6">
    <w:name w:val="Body Text Indent"/>
    <w:basedOn w:val="1"/>
    <w:qFormat/>
    <w:uiPriority w:val="0"/>
    <w:pPr>
      <w:spacing w:after="120" w:afterLines="0" w:afterAutospacing="0"/>
      <w:ind w:left="420" w:leftChars="200"/>
    </w:pPr>
  </w:style>
  <w:style w:type="paragraph" w:styleId="7">
    <w:name w:val="Body Text First Indent 2"/>
    <w:basedOn w:val="6"/>
    <w:next w:val="1"/>
    <w:qFormat/>
    <w:uiPriority w:val="0"/>
    <w:pPr>
      <w:keepNext/>
      <w:keepLines/>
      <w:spacing w:after="0" w:line="560" w:lineRule="exact"/>
      <w:ind w:left="0" w:leftChars="0" w:firstLine="480"/>
      <w:jc w:val="left"/>
      <w:outlineLvl w:val="3"/>
    </w:pPr>
    <w:rPr>
      <w:rFonts w:ascii="Times New Roman" w:hAnsi="Times New Roman" w:eastAsia="仿宋_GB2312" w:cs="Times New Roman"/>
      <w:bCs/>
      <w:sz w:val="32"/>
      <w:szCs w:val="28"/>
    </w:rPr>
  </w:style>
  <w:style w:type="paragraph" w:styleId="8">
    <w:name w:val="Normal (Web)"/>
    <w:basedOn w:val="1"/>
    <w:qFormat/>
    <w:uiPriority w:val="0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customStyle="1" w:styleId="11">
    <w:name w:val="bjh-p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 专业版_9.1.0.4895_{F1E327BC-269C-435d-A152-05C5408002CA}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2021-04-26T06:26:00Z</dcterms:created>
  <dc:creator>沈义</dc:creator>
  <cp:lastModifiedBy>admin</cp:lastModifiedBy>
  <cp:lastPrinted>2021-10-11T08:25:00Z</cp:lastPrinted>
  <dcterms:modified xsi:type="dcterms:W3CDTF">2021-11-28T08:20:31Z</dcterms:modified>
  <dc:title>河北博物院“2021年中原五省博物馆教育培训”服务项目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2052-9.1.0.4895</vt:lpwstr>
  </property>
</Properties>
</file>