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line="240" w:lineRule="auto"/>
        <w:jc w:val="center"/>
        <w:textAlignment w:val="auto"/>
        <w:rPr>
          <w:rFonts w:hint="eastAsia" w:eastAsia="宋体"/>
          <w:b/>
          <w:bCs/>
          <w:kern w:val="2"/>
          <w:sz w:val="32"/>
          <w:szCs w:val="32"/>
          <w:lang w:eastAsia="zh-CN"/>
        </w:rPr>
      </w:pPr>
      <w:r>
        <w:rPr>
          <w:rFonts w:hint="eastAsia" w:eastAsia="宋体"/>
          <w:b/>
          <w:bCs/>
          <w:kern w:val="2"/>
          <w:sz w:val="32"/>
          <w:szCs w:val="32"/>
          <w:lang w:eastAsia="zh-CN"/>
        </w:rPr>
        <w:t>河北博物院票务预约系统阿里云服务器采购项目</w:t>
      </w:r>
    </w:p>
    <w:p>
      <w:pPr>
        <w:adjustRightInd/>
        <w:spacing w:line="240" w:lineRule="auto"/>
        <w:jc w:val="center"/>
        <w:textAlignment w:val="auto"/>
        <w:rPr>
          <w:rFonts w:hint="eastAsia" w:eastAsia="宋体"/>
          <w:b/>
          <w:bCs/>
          <w:kern w:val="2"/>
          <w:sz w:val="32"/>
          <w:szCs w:val="32"/>
          <w:lang w:eastAsia="zh-CN"/>
        </w:rPr>
      </w:pPr>
      <w:r>
        <w:rPr>
          <w:rFonts w:hint="eastAsia" w:eastAsia="宋体"/>
          <w:b/>
          <w:bCs/>
          <w:kern w:val="2"/>
          <w:sz w:val="32"/>
          <w:szCs w:val="32"/>
          <w:lang w:eastAsia="zh-CN"/>
        </w:rPr>
        <w:t>评审标准</w:t>
      </w:r>
      <w:bookmarkStart w:id="0" w:name="_GoBack"/>
      <w:bookmarkEnd w:id="0"/>
    </w:p>
    <w:p>
      <w:pPr>
        <w:pStyle w:val="2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tbl>
      <w:tblPr>
        <w:tblStyle w:val="8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431"/>
        <w:gridCol w:w="954"/>
        <w:gridCol w:w="5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tblHeader/>
          <w:jc w:val="center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类别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评审项目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8"/>
                <w:szCs w:val="24"/>
              </w:rPr>
            </w:pPr>
            <w:r>
              <w:rPr>
                <w:rFonts w:hint="eastAsia" w:ascii="宋体" w:hAnsi="宋体"/>
                <w:b/>
                <w:spacing w:val="-8"/>
                <w:szCs w:val="24"/>
              </w:rPr>
              <w:t>标准分</w:t>
            </w:r>
          </w:p>
        </w:tc>
        <w:tc>
          <w:tcPr>
            <w:tcW w:w="54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Cs w:val="24"/>
              </w:rPr>
              <w:t>报价</w:t>
            </w:r>
            <w:r>
              <w:rPr>
                <w:rFonts w:hint="eastAsia" w:ascii="宋体" w:hAnsi="宋体"/>
                <w:b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（共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40分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）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报价分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40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投标人报价得分＝（有效最低投标报价／该投标人报价）×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（保留1位小数点，第2位四舍五入，下同）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400" w:lineRule="exact"/>
              <w:ind w:firstLine="241" w:firstLineChars="100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商务</w:t>
            </w:r>
            <w:r>
              <w:rPr>
                <w:rFonts w:hint="eastAsia" w:ascii="宋体" w:hAnsi="宋体"/>
                <w:b/>
                <w:szCs w:val="24"/>
              </w:rPr>
              <w:t>部分</w:t>
            </w:r>
            <w:r>
              <w:rPr>
                <w:rFonts w:hint="eastAsia" w:ascii="宋体" w:hAnsi="宋体"/>
                <w:b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（共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30分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4"/>
              </w:rPr>
              <w:t>商务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要求</w:t>
            </w:r>
            <w:r>
              <w:rPr>
                <w:rFonts w:hint="eastAsia" w:ascii="宋体" w:hAnsi="宋体"/>
                <w:b/>
                <w:szCs w:val="24"/>
              </w:rPr>
              <w:t>响应情况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10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不能实质性满足重要商务要求的为无效响应。在满足重要商务要求的基础上，对供应商的商务要求响应程度进行综合比较评价：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第一档，响应全面，描述完备、细致，完全满足且部分优于采购需求的，得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第二档，响应较全面、细致，满足采购需求的，得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7.5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第三档，基本响应采购需求，但有缺陷或部分一般指标不满足需求的，得0-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3.5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4"/>
              </w:rPr>
              <w:t>售后服务体系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10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根据供应商的售后服务、技术支持能力与承诺优劣进行综合比较评价，分三档进行打分。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第一档，项目对接响应及时，能够妥善安排各项施工人员的进场流程，按照要求及时更新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完善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，能及时处理问题的，得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第二档，能够积极配合，但处理不够及时的，得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.5分；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第三档：不能够主动的提供服务，得0-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3.5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/>
                <w:szCs w:val="24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同类业绩</w:t>
            </w:r>
          </w:p>
        </w:tc>
        <w:tc>
          <w:tcPr>
            <w:tcW w:w="954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10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供应商需提交近三年内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阿里云销售服务或票务系统开发运维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案例，须提交相应合同。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每提交1个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省级及以上图书馆、博物馆软阿里云服务或票务系统服务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案例，得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2.5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每提交1个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图书馆、博物馆阿里云服务或票务系统服务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案例，得1分；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阿里云服务或票务系统服务案例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，每提交一个，得0.5分。此项最高得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  <w:t>技术部分</w:t>
            </w: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  <w:t>（共3</w:t>
            </w:r>
            <w:r>
              <w:rPr>
                <w:rFonts w:hint="eastAsia" w:ascii="宋体" w:hAnsi="宋体" w:cs="宋体"/>
                <w:b/>
                <w:bCs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  <w:t>分）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服务器选型及配置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lang w:val="en-US" w:eastAsia="zh-CN"/>
              </w:rPr>
              <w:t>15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根据本地服务器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产品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和云服务器产品的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选型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配置优劣进行比较评价：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第一档，产品选型先进，功能配置强，技术参数完全达到且部分优于标书要求，得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12-15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第二档，产品选型合理，功能配置较好，技术参数满足标书要求，得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.5分；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第三档，产品选型一般或欠合理，功能配置一般或较差，技术参数低于其他档次产品，得0-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pStyle w:val="11"/>
              <w:kinsoku w:val="0"/>
              <w:overflowPunct w:val="0"/>
              <w:spacing w:before="52" w:beforeLines="0" w:afterLines="0"/>
              <w:ind w:left="4" w:leftChars="0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 w:bidi="ar-SA"/>
              </w:rPr>
              <w:t>云安全中心选型配置</w:t>
            </w:r>
          </w:p>
        </w:tc>
        <w:tc>
          <w:tcPr>
            <w:tcW w:w="954" w:type="dxa"/>
            <w:vAlign w:val="center"/>
          </w:tcPr>
          <w:p>
            <w:pPr>
              <w:pStyle w:val="2"/>
              <w:ind w:firstLine="241" w:firstLineChars="100"/>
              <w:jc w:val="both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根据</w:t>
            </w:r>
            <w:r>
              <w:rPr>
                <w:rFonts w:hint="eastAsia"/>
                <w:lang w:val="en-US" w:eastAsia="zh-CN"/>
              </w:rPr>
              <w:t>云安全中心</w:t>
            </w:r>
            <w:r>
              <w:rPr>
                <w:rFonts w:hint="eastAsia"/>
              </w:rPr>
              <w:t>产品</w:t>
            </w:r>
            <w:r>
              <w:rPr>
                <w:rFonts w:hint="eastAsia"/>
                <w:lang w:val="en-US" w:eastAsia="zh-CN"/>
              </w:rPr>
              <w:t>的</w:t>
            </w:r>
            <w:r>
              <w:rPr>
                <w:rFonts w:hint="eastAsia"/>
              </w:rPr>
              <w:t>选型和功能优劣进行比较评价：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第一档，产品选型先进，功能</w:t>
            </w:r>
            <w:r>
              <w:rPr>
                <w:rFonts w:hint="eastAsia"/>
                <w:lang w:val="en-US" w:eastAsia="zh-CN"/>
              </w:rPr>
              <w:t>强大</w:t>
            </w:r>
            <w:r>
              <w:rPr>
                <w:rFonts w:hint="eastAsia"/>
              </w:rPr>
              <w:t>，完全达到或优于标书要求，得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4-5</w:t>
            </w:r>
            <w:r>
              <w:rPr>
                <w:rFonts w:hint="eastAsia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第二档，产品选型较好，功能齐全，基本满足标书要求，得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3.5</w:t>
            </w:r>
            <w:r>
              <w:rPr>
                <w:rFonts w:hint="eastAsia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/>
              </w:rPr>
              <w:t>第三档，产品较差或一般，</w:t>
            </w:r>
            <w:r>
              <w:rPr>
                <w:rFonts w:hint="eastAsia"/>
                <w:lang w:val="en-US" w:eastAsia="zh-CN"/>
              </w:rPr>
              <w:t>明显</w:t>
            </w:r>
            <w:r>
              <w:rPr>
                <w:rFonts w:hint="eastAsia"/>
              </w:rPr>
              <w:t>低于其他档次产品得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1.5</w:t>
            </w:r>
            <w:r>
              <w:rPr>
                <w:rFonts w:hint="eastAsia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pStyle w:val="11"/>
              <w:kinsoku w:val="0"/>
              <w:overflowPunct w:val="0"/>
              <w:spacing w:beforeLines="0" w:afterLines="0" w:line="385" w:lineRule="exact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 w:bidi="ar-SA"/>
              </w:rPr>
              <w:t>流量费用</w:t>
            </w:r>
          </w:p>
        </w:tc>
        <w:tc>
          <w:tcPr>
            <w:tcW w:w="954" w:type="dxa"/>
            <w:vAlign w:val="center"/>
          </w:tcPr>
          <w:p>
            <w:pPr>
              <w:pStyle w:val="2"/>
              <w:ind w:firstLine="241" w:firstLineChars="100"/>
              <w:jc w:val="both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10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投标人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流量费报价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得分＝（有效最低投标报价／该投标人报价）×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（保留1位小数点，第2位四舍五入，下同）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8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合计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100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分档打分的，同档次打分最小分值差为0.5分。</w:t>
            </w:r>
          </w:p>
        </w:tc>
      </w:tr>
    </w:tbl>
    <w:p>
      <w:pPr>
        <w:pStyle w:val="2"/>
      </w:pPr>
      <w:r>
        <w:rPr>
          <w:rFonts w:hint="eastAsia"/>
        </w:rPr>
        <w:t xml:space="preserve"> </w:t>
      </w:r>
    </w:p>
    <w:sectPr>
      <w:pgSz w:w="11906" w:h="16838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D26AD"/>
    <w:rsid w:val="01277A7C"/>
    <w:rsid w:val="01E63109"/>
    <w:rsid w:val="06DE0669"/>
    <w:rsid w:val="0A5F19D4"/>
    <w:rsid w:val="1291261C"/>
    <w:rsid w:val="14E0123A"/>
    <w:rsid w:val="17CF7BF7"/>
    <w:rsid w:val="198B3FF6"/>
    <w:rsid w:val="1CF84072"/>
    <w:rsid w:val="20DE1FCF"/>
    <w:rsid w:val="21A861E3"/>
    <w:rsid w:val="226517C5"/>
    <w:rsid w:val="23D575A0"/>
    <w:rsid w:val="24A866B2"/>
    <w:rsid w:val="24C23BFE"/>
    <w:rsid w:val="28070699"/>
    <w:rsid w:val="2F6F1EAC"/>
    <w:rsid w:val="328A5B17"/>
    <w:rsid w:val="37CD2516"/>
    <w:rsid w:val="38CF3948"/>
    <w:rsid w:val="3B2E5CEB"/>
    <w:rsid w:val="3C8A357A"/>
    <w:rsid w:val="3FB369F4"/>
    <w:rsid w:val="406F27E0"/>
    <w:rsid w:val="41164838"/>
    <w:rsid w:val="41826444"/>
    <w:rsid w:val="44E26E32"/>
    <w:rsid w:val="47DD26AD"/>
    <w:rsid w:val="48C11705"/>
    <w:rsid w:val="4C9D6071"/>
    <w:rsid w:val="4CD04143"/>
    <w:rsid w:val="4D84170A"/>
    <w:rsid w:val="4E333295"/>
    <w:rsid w:val="51927B45"/>
    <w:rsid w:val="52643FA2"/>
    <w:rsid w:val="53047E9B"/>
    <w:rsid w:val="55FA0951"/>
    <w:rsid w:val="57682D9F"/>
    <w:rsid w:val="5D7B3EF1"/>
    <w:rsid w:val="5DE53A3A"/>
    <w:rsid w:val="5E454415"/>
    <w:rsid w:val="5F1C38A9"/>
    <w:rsid w:val="6258550E"/>
    <w:rsid w:val="65BE1992"/>
    <w:rsid w:val="67325DFA"/>
    <w:rsid w:val="69AE2548"/>
    <w:rsid w:val="69D83714"/>
    <w:rsid w:val="6D74344C"/>
    <w:rsid w:val="6F7A1313"/>
    <w:rsid w:val="72D20803"/>
    <w:rsid w:val="7B325231"/>
    <w:rsid w:val="7C6C7EA1"/>
    <w:rsid w:val="7D6853C6"/>
    <w:rsid w:val="7F2F3E8F"/>
    <w:rsid w:val="7FBB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toc 2"/>
    <w:basedOn w:val="1"/>
    <w:next w:val="1"/>
    <w:qFormat/>
    <w:uiPriority w:val="0"/>
    <w:pPr>
      <w:tabs>
        <w:tab w:val="right" w:leader="dot" w:pos="8280"/>
      </w:tabs>
      <w:ind w:right="47" w:rightChars="47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Body Text First Indent"/>
    <w:basedOn w:val="2"/>
    <w:qFormat/>
    <w:uiPriority w:val="0"/>
    <w:pPr>
      <w:spacing w:line="560" w:lineRule="exact"/>
      <w:ind w:leftChars="300" w:firstLine="880" w:firstLineChars="200"/>
      <w:jc w:val="left"/>
    </w:pPr>
    <w:rPr>
      <w:rFonts w:ascii="仿宋_GB2312" w:hAnsi="仿宋_GB2312" w:eastAsia="仿宋_GB2312" w:cs="Times New Roman"/>
      <w:sz w:val="32"/>
      <w:szCs w:val="24"/>
      <w:lang w:val="zh-CN" w:bidi="zh-CN"/>
    </w:rPr>
  </w:style>
  <w:style w:type="paragraph" w:styleId="7">
    <w:name w:val="Body Text First Indent 2"/>
    <w:basedOn w:val="3"/>
    <w:next w:val="1"/>
    <w:qFormat/>
    <w:uiPriority w:val="0"/>
    <w:pPr>
      <w:keepNext/>
      <w:keepLines/>
      <w:spacing w:after="0" w:line="560" w:lineRule="exact"/>
      <w:ind w:left="0" w:leftChars="0" w:firstLine="480"/>
      <w:jc w:val="left"/>
      <w:outlineLvl w:val="3"/>
    </w:pPr>
    <w:rPr>
      <w:rFonts w:ascii="Times New Roman" w:hAnsi="Times New Roman" w:eastAsia="仿宋_GB2312" w:cs="Times New Roman"/>
      <w:bCs/>
      <w:sz w:val="32"/>
      <w:szCs w:val="28"/>
    </w:rPr>
  </w:style>
  <w:style w:type="character" w:customStyle="1" w:styleId="10">
    <w:name w:val="bjh-p"/>
    <w:qFormat/>
    <w:uiPriority w:val="0"/>
  </w:style>
  <w:style w:type="paragraph" w:customStyle="1" w:styleId="11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2021-04-26T06:26:00Z</dcterms:created>
  <dc:creator>沈义</dc:creator>
  <cp:lastModifiedBy>王国忠</cp:lastModifiedBy>
  <cp:lastPrinted>2021-10-11T08:25:00Z</cp:lastPrinted>
  <dcterms:modified xsi:type="dcterms:W3CDTF">2021-12-29T09:53:09Z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99545B3803224924B31BAD6160E2F01C</vt:lpwstr>
  </property>
</Properties>
</file>