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河北博物院票务预约系统阿里云服务器采购项目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  <w:bookmarkStart w:id="0" w:name="_GoBack"/>
      <w:bookmarkEnd w:id="0"/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8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40分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40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1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售后服务体系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根据供应商的售后服务、技术支持能力与承诺优劣进行综合比较评价，分三档进行打分。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第一档，项目对接响应及时，能够妥善安排各项施工人员的进场流程，按照要求及时更新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完善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，能及时处理问题的，得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第二档，能够积极配合，但处理不够及时的，得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第三档：不能够主动的提供服务，得0-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同类业绩</w:t>
            </w:r>
          </w:p>
        </w:tc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供应商需提交近三年内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阿里云销售服务或票务系统开发运维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案例，须提交相应合同。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每提交1个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省级及以上图书馆、博物馆软阿里云服务或票务系统服务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每提交1个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图书馆、博物馆阿里云服务或票务系统服务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案例，得1分；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阿里云服务或票务系统服务案例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，每提交一个，得0.5分。此项最高得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（共3</w:t>
            </w: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服务器选型及配置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15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根据本地服务器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和云服务器产品的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配置优劣进行比较评价：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第一档，产品选型先进，功能配置强，技术参数完全达到且部分优于标书要求，得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12-15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第二档，产品选型合理，功能配置较好，技术参数满足标书要求，得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第三档，产品选型一般或欠合理，功能配置一般或较差，技术参数低于其他档次产品，得0-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11"/>
              <w:kinsoku w:val="0"/>
              <w:overflowPunct w:val="0"/>
              <w:spacing w:before="52" w:beforeLines="0" w:afterLines="0"/>
              <w:ind w:left="4" w:left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云安全中心选型配置</w:t>
            </w:r>
          </w:p>
        </w:tc>
        <w:tc>
          <w:tcPr>
            <w:tcW w:w="954" w:type="dxa"/>
            <w:vAlign w:val="center"/>
          </w:tcPr>
          <w:p>
            <w:pPr>
              <w:pStyle w:val="2"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val="en-US" w:eastAsia="zh-CN"/>
              </w:rPr>
              <w:t>云安全中心</w:t>
            </w: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选型和功能优劣进行比较评价：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第一档，产品选型先进，功能</w:t>
            </w:r>
            <w:r>
              <w:rPr>
                <w:rFonts w:hint="eastAsia"/>
                <w:lang w:val="en-US" w:eastAsia="zh-CN"/>
              </w:rPr>
              <w:t>强大</w:t>
            </w:r>
            <w:r>
              <w:rPr>
                <w:rFonts w:hint="eastAsia"/>
              </w:rPr>
              <w:t>，完全达到或优于标书要求，得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4-5</w:t>
            </w:r>
            <w:r>
              <w:rPr>
                <w:rFonts w:hint="eastAsia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第二档，产品选型较好，功能齐全，基本满足标书要求，得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第三档，产品较差或一般，</w:t>
            </w:r>
            <w:r>
              <w:rPr>
                <w:rFonts w:hint="eastAsia"/>
                <w:lang w:val="en-US" w:eastAsia="zh-CN"/>
              </w:rPr>
              <w:t>明显</w:t>
            </w:r>
            <w:r>
              <w:rPr>
                <w:rFonts w:hint="eastAsia"/>
              </w:rPr>
              <w:t>低于其他档次产品得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11"/>
              <w:kinsoku w:val="0"/>
              <w:overflowPunct w:val="0"/>
              <w:spacing w:beforeLines="0" w:afterLines="0" w:line="385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流量费用</w:t>
            </w:r>
          </w:p>
        </w:tc>
        <w:tc>
          <w:tcPr>
            <w:tcW w:w="954" w:type="dxa"/>
            <w:vAlign w:val="center"/>
          </w:tcPr>
          <w:p>
            <w:pPr>
              <w:pStyle w:val="2"/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流量费报价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2"/>
      </w:pPr>
      <w:r>
        <w:rPr>
          <w:rFonts w:hint="eastAsia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26AD"/>
    <w:rsid w:val="01277A7C"/>
    <w:rsid w:val="01E63109"/>
    <w:rsid w:val="06DE0669"/>
    <w:rsid w:val="0A5F19D4"/>
    <w:rsid w:val="1291261C"/>
    <w:rsid w:val="14E0123A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8070699"/>
    <w:rsid w:val="2F6F1EAC"/>
    <w:rsid w:val="328A5B17"/>
    <w:rsid w:val="37CD2516"/>
    <w:rsid w:val="38CF3948"/>
    <w:rsid w:val="3B2E5CEB"/>
    <w:rsid w:val="3C8A357A"/>
    <w:rsid w:val="3FB369F4"/>
    <w:rsid w:val="406F27E0"/>
    <w:rsid w:val="41164838"/>
    <w:rsid w:val="41826444"/>
    <w:rsid w:val="44E26E32"/>
    <w:rsid w:val="47DD26AD"/>
    <w:rsid w:val="48C11705"/>
    <w:rsid w:val="4C9D6071"/>
    <w:rsid w:val="4CD04143"/>
    <w:rsid w:val="4D84170A"/>
    <w:rsid w:val="4E333295"/>
    <w:rsid w:val="51927B45"/>
    <w:rsid w:val="52643FA2"/>
    <w:rsid w:val="53047E9B"/>
    <w:rsid w:val="55FA0951"/>
    <w:rsid w:val="57682D9F"/>
    <w:rsid w:val="5D7B3EF1"/>
    <w:rsid w:val="5DE53A3A"/>
    <w:rsid w:val="5E454415"/>
    <w:rsid w:val="5F1C38A9"/>
    <w:rsid w:val="6258550E"/>
    <w:rsid w:val="65BE1992"/>
    <w:rsid w:val="67325DFA"/>
    <w:rsid w:val="69AE2548"/>
    <w:rsid w:val="69D83714"/>
    <w:rsid w:val="6D74344C"/>
    <w:rsid w:val="6F7A1313"/>
    <w:rsid w:val="72D20803"/>
    <w:rsid w:val="7B325231"/>
    <w:rsid w:val="7C6C7EA1"/>
    <w:rsid w:val="7D6853C6"/>
    <w:rsid w:val="7F2F3E8F"/>
    <w:rsid w:val="7FB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7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0">
    <w:name w:val="bjh-p"/>
    <w:qFormat/>
    <w:uiPriority w:val="0"/>
  </w:style>
  <w:style w:type="paragraph" w:customStyle="1" w:styleId="11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王国忠</cp:lastModifiedBy>
  <cp:lastPrinted>2021-10-11T08:25:00Z</cp:lastPrinted>
  <dcterms:modified xsi:type="dcterms:W3CDTF">2021-12-29T09:53:09Z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99545B3803224924B31BAD6160E2F01C</vt:lpwstr>
  </property>
</Properties>
</file>