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eastAsia="宋体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/>
          <w:b/>
          <w:bCs/>
          <w:color w:val="auto"/>
          <w:sz w:val="32"/>
          <w:szCs w:val="32"/>
          <w:highlight w:val="none"/>
          <w:lang w:eastAsia="zh-CN"/>
        </w:rPr>
        <w:t>河北博物院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b/>
          <w:bCs/>
          <w:color w:val="auto"/>
          <w:sz w:val="32"/>
          <w:szCs w:val="32"/>
          <w:highlight w:val="none"/>
        </w:rPr>
        <w:t>《</w:t>
      </w:r>
      <w:r>
        <w:rPr>
          <w:rFonts w:hint="eastAsia"/>
          <w:b/>
          <w:bCs/>
          <w:color w:val="auto"/>
          <w:sz w:val="32"/>
          <w:szCs w:val="32"/>
          <w:highlight w:val="none"/>
          <w:lang w:eastAsia="zh-CN"/>
        </w:rPr>
        <w:t>纵横有象——侯马盟书与中山三器文字艺术展图录》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出版项目评审标准</w:t>
      </w:r>
    </w:p>
    <w:tbl>
      <w:tblPr>
        <w:tblStyle w:val="10"/>
        <w:tblW w:w="87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493"/>
        <w:gridCol w:w="1443"/>
        <w:gridCol w:w="4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Cs w:val="24"/>
              </w:rPr>
              <w:t>类别</w:t>
            </w: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Cs w:val="24"/>
              </w:rPr>
              <w:t>评审项目</w:t>
            </w: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pacing w:val="-8"/>
                <w:szCs w:val="24"/>
              </w:rPr>
              <w:t>标准分</w:t>
            </w:r>
          </w:p>
        </w:tc>
        <w:tc>
          <w:tcPr>
            <w:tcW w:w="44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报价</w:t>
            </w:r>
            <w:r>
              <w:rPr>
                <w:rFonts w:hint="eastAsia" w:ascii="宋体" w:hAnsi="宋体"/>
                <w:b/>
                <w:szCs w:val="24"/>
              </w:rPr>
              <w:br w:type="textWrapping"/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（共</w:t>
            </w: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20分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）</w:t>
            </w: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报价分</w:t>
            </w: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pacing w:val="-8"/>
                <w:szCs w:val="24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20</w:t>
            </w:r>
          </w:p>
        </w:tc>
        <w:tc>
          <w:tcPr>
            <w:tcW w:w="4465" w:type="dxa"/>
            <w:vAlign w:val="top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Arial" w:hAnsi="Arial" w:cs="Arial"/>
                <w:szCs w:val="21"/>
                <w:lang w:eastAsia="zh-CN"/>
              </w:rPr>
              <w:t>以满足招标招标文件要求且投标价格最低的投标报价为评标基准价，投标报价等于基准价得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20分；投标报价高于基准价的统一按照下列公式计算：投标报价得分=（评标基准价/投标报价）*20分（百分点保留2位小数，得分保留2位小数，第三位四舍五入）。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2" w:hRule="atLeast"/>
          <w:jc w:val="center"/>
        </w:trPr>
        <w:tc>
          <w:tcPr>
            <w:tcW w:w="139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技术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部分（共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0分）</w:t>
            </w: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Cs w:val="24"/>
                <w:lang w:val="en-US" w:eastAsia="zh-CN"/>
              </w:rPr>
              <w:t>技术和服务响应情况</w:t>
            </w: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</w:rPr>
            </w:pPr>
            <w:r>
              <w:rPr>
                <w:rFonts w:hint="eastAsia" w:ascii="宋体" w:hAnsi="宋体" w:eastAsia="宋体"/>
                <w:b/>
                <w:szCs w:val="24"/>
                <w:lang w:val="en-US" w:eastAsia="zh-CN"/>
              </w:rPr>
              <w:t>25</w:t>
            </w:r>
          </w:p>
        </w:tc>
        <w:tc>
          <w:tcPr>
            <w:tcW w:w="4465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不能实质性满足询价文件要求的竞标单位为无效投标。在满足询价文件实质性要求的基础上，对竞标人的技术和服务条款进行综合比较评价：</w:t>
            </w:r>
          </w:p>
          <w:p>
            <w:pPr>
              <w:spacing w:line="36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1、图书制作技术精湛，配套服务完善，排版设计新颖有内涵，印刷装帧精致优良，能优化呈现图书项目内容，21-25分；</w:t>
            </w:r>
          </w:p>
          <w:p>
            <w:pPr>
              <w:spacing w:line="36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2、图书设计制作能合理完整的表达项目内容，基本服务完备，满足询价要求，11-20分；</w:t>
            </w:r>
          </w:p>
          <w:p>
            <w:pPr>
              <w:spacing w:line="36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3、图书设计制作</w:t>
            </w:r>
            <w:r>
              <w:rPr>
                <w:rFonts w:hint="eastAsia"/>
              </w:rPr>
              <w:t>基本符合相关标准和规范，</w:t>
            </w:r>
            <w:r>
              <w:rPr>
                <w:rFonts w:hint="eastAsia"/>
                <w:lang w:eastAsia="zh-CN"/>
              </w:rPr>
              <w:t>在服务要求方面欠缺，</w:t>
            </w:r>
            <w:r>
              <w:rPr>
                <w:rFonts w:hint="eastAsia"/>
                <w:lang w:val="en-US" w:eastAsia="zh-CN"/>
              </w:rPr>
              <w:t>0-10分。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Cs w:val="24"/>
                <w:lang w:eastAsia="zh-CN"/>
              </w:rPr>
              <w:t>实施方案</w:t>
            </w: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</w:rPr>
            </w:pPr>
            <w:r>
              <w:rPr>
                <w:rFonts w:hint="eastAsia" w:ascii="宋体" w:hAnsi="宋体" w:eastAsia="宋体"/>
                <w:b/>
                <w:szCs w:val="24"/>
                <w:lang w:val="en-US" w:eastAsia="zh-CN"/>
              </w:rPr>
              <w:t>15</w:t>
            </w:r>
          </w:p>
        </w:tc>
        <w:tc>
          <w:tcPr>
            <w:tcW w:w="446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1、项目实施</w:t>
            </w:r>
            <w:r>
              <w:rPr>
                <w:rFonts w:hint="eastAsia" w:ascii="Arial" w:hAnsi="Arial" w:cs="Arial"/>
                <w:szCs w:val="21"/>
              </w:rPr>
              <w:t>方案安排科学、保障措施完善有力，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13-15</w:t>
            </w:r>
            <w:r>
              <w:rPr>
                <w:rFonts w:hint="eastAsia" w:ascii="Arial" w:hAnsi="Arial" w:cs="Arial"/>
                <w:szCs w:val="21"/>
              </w:rPr>
              <w:t>分；</w:t>
            </w:r>
          </w:p>
          <w:p>
            <w:pPr>
              <w:spacing w:line="360" w:lineRule="auto"/>
              <w:jc w:val="lef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2、项目实施</w:t>
            </w:r>
            <w:r>
              <w:rPr>
                <w:rFonts w:hint="eastAsia" w:ascii="Arial" w:hAnsi="Arial" w:cs="Arial"/>
                <w:szCs w:val="21"/>
              </w:rPr>
              <w:t>方案安排较科学、保障措施较完善有力，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6</w:t>
            </w:r>
            <w:r>
              <w:rPr>
                <w:rFonts w:hint="eastAsia" w:ascii="Arial" w:hAnsi="Arial" w:cs="Arial"/>
                <w:szCs w:val="21"/>
              </w:rPr>
              <w:t>-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12</w:t>
            </w:r>
            <w:r>
              <w:rPr>
                <w:rFonts w:hint="eastAsia" w:ascii="Arial" w:hAnsi="Arial" w:cs="Arial"/>
                <w:szCs w:val="21"/>
              </w:rPr>
              <w:t>分；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3、项目</w:t>
            </w:r>
            <w:r>
              <w:rPr>
                <w:rFonts w:hint="eastAsia" w:ascii="Arial" w:hAnsi="Arial" w:cs="Arial"/>
                <w:szCs w:val="21"/>
              </w:rPr>
              <w:t>实施方案安排一般，保障措施一般，0-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5</w:t>
            </w:r>
            <w:r>
              <w:rPr>
                <w:rFonts w:hint="eastAsia" w:ascii="Arial" w:hAnsi="Arial" w:cs="Arial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</w:rPr>
            </w:pPr>
            <w:r>
              <w:rPr>
                <w:rFonts w:hint="eastAsia" w:ascii="宋体" w:hAnsi="宋体" w:eastAsia="宋体"/>
                <w:b/>
                <w:szCs w:val="24"/>
              </w:rPr>
              <w:t>企业</w:t>
            </w:r>
            <w:r>
              <w:rPr>
                <w:rFonts w:hint="eastAsia" w:ascii="宋体" w:hAnsi="宋体" w:eastAsia="宋体"/>
                <w:b/>
                <w:szCs w:val="24"/>
                <w:lang w:eastAsia="zh-CN"/>
              </w:rPr>
              <w:t>相应资质</w:t>
            </w: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</w:rPr>
            </w:pPr>
            <w:r>
              <w:rPr>
                <w:rFonts w:hint="eastAsia" w:ascii="宋体" w:hAnsi="宋体" w:eastAsia="宋体"/>
                <w:b/>
                <w:szCs w:val="24"/>
                <w:lang w:val="en-US" w:eastAsia="zh-CN"/>
              </w:rPr>
              <w:t>5</w:t>
            </w:r>
          </w:p>
        </w:tc>
        <w:tc>
          <w:tcPr>
            <w:tcW w:w="446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  <w:t>竞标人</w:t>
            </w:r>
            <w:r>
              <w:rPr>
                <w:rFonts w:hint="eastAsia" w:ascii="Arial" w:hAnsi="Arial" w:cs="Arial"/>
                <w:kern w:val="2"/>
                <w:sz w:val="21"/>
                <w:szCs w:val="21"/>
                <w:lang w:val="en-US" w:eastAsia="zh-CN" w:bidi="ar-SA"/>
              </w:rPr>
              <w:t>资质完备，</w:t>
            </w:r>
            <w:r>
              <w:rPr>
                <w:rFonts w:hint="eastAsia"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  <w:t>管理制度</w:t>
            </w:r>
            <w:r>
              <w:rPr>
                <w:rFonts w:hint="eastAsia" w:ascii="Arial" w:hAnsi="Arial" w:cs="Arial"/>
                <w:kern w:val="2"/>
                <w:sz w:val="21"/>
                <w:szCs w:val="21"/>
                <w:lang w:val="en-US" w:eastAsia="zh-CN" w:bidi="ar-SA"/>
              </w:rPr>
              <w:t>完善</w:t>
            </w:r>
            <w:r>
              <w:rPr>
                <w:rFonts w:hint="eastAsia"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  <w:t>：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Arial" w:hAnsi="Arial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2"/>
                <w:sz w:val="21"/>
                <w:szCs w:val="21"/>
                <w:lang w:val="en-US" w:eastAsia="zh-CN" w:bidi="ar-SA"/>
              </w:rPr>
              <w:t>1、企业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无不良业绩证明；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Arial" w:hAnsi="Arial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2"/>
                <w:sz w:val="21"/>
                <w:szCs w:val="21"/>
                <w:lang w:val="en-US" w:eastAsia="zh-CN" w:bidi="ar-SA"/>
              </w:rPr>
              <w:t>2、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公司营业执照；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Arial" w:hAnsi="Arial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2"/>
                <w:sz w:val="21"/>
                <w:szCs w:val="21"/>
                <w:lang w:val="en-US" w:eastAsia="zh-CN" w:bidi="ar-SA"/>
              </w:rPr>
              <w:t>3、在</w:t>
            </w:r>
            <w:r>
              <w:rPr>
                <w:rFonts w:hint="eastAsia"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  <w:t>公司管理、服务管理、财务管理、制度</w:t>
            </w:r>
            <w:r>
              <w:rPr>
                <w:rFonts w:hint="eastAsia" w:ascii="Arial" w:hAnsi="Arial" w:cs="Arial"/>
                <w:kern w:val="2"/>
                <w:sz w:val="21"/>
                <w:szCs w:val="21"/>
                <w:lang w:val="en-US" w:eastAsia="zh-CN" w:bidi="ar-SA"/>
              </w:rPr>
              <w:t>规范等方面</w:t>
            </w:r>
            <w:r>
              <w:rPr>
                <w:rFonts w:hint="eastAsia"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  <w:t>优于其它竞标人</w:t>
            </w:r>
            <w:r>
              <w:rPr>
                <w:rFonts w:hint="eastAsia" w:ascii="Arial" w:hAnsi="Arial" w:cs="Arial"/>
                <w:kern w:val="2"/>
                <w:sz w:val="21"/>
                <w:szCs w:val="21"/>
                <w:lang w:val="en-US" w:eastAsia="zh-CN" w:bidi="ar-SA"/>
              </w:rPr>
              <w:t>，5</w:t>
            </w:r>
            <w:r>
              <w:rPr>
                <w:rFonts w:hint="eastAsia"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  <w:t>分</w:t>
            </w:r>
            <w:r>
              <w:rPr>
                <w:rFonts w:hint="eastAsia" w:ascii="Arial" w:hAnsi="Arial" w:cs="Arial"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eastAsia"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  <w:t>制度可行、合理</w:t>
            </w:r>
            <w:r>
              <w:rPr>
                <w:rFonts w:hint="eastAsia" w:ascii="Arial" w:hAnsi="Arial" w:cs="Arial"/>
                <w:kern w:val="2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eastAsia" w:ascii="Arial" w:hAnsi="Arial" w:cs="Arial"/>
                <w:kern w:val="2"/>
                <w:sz w:val="21"/>
                <w:szCs w:val="21"/>
                <w:lang w:val="en-US" w:eastAsia="zh-CN" w:bidi="ar-SA"/>
              </w:rPr>
              <w:t>-4</w:t>
            </w:r>
            <w:r>
              <w:rPr>
                <w:rFonts w:hint="eastAsia"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  <w:t>分</w:t>
            </w:r>
            <w:r>
              <w:rPr>
                <w:rFonts w:hint="eastAsia" w:ascii="Arial" w:hAnsi="Arial" w:cs="Arial"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eastAsia"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  <w:t>一般</w:t>
            </w:r>
            <w:r>
              <w:rPr>
                <w:rFonts w:hint="eastAsia" w:ascii="Arial" w:hAnsi="Arial" w:cs="Arial"/>
                <w:kern w:val="2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  <w:t>0-2分。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Cs w:val="24"/>
                <w:lang w:val="en-US" w:eastAsia="zh-CN"/>
              </w:rPr>
              <w:t>类似业绩</w:t>
            </w: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</w:rPr>
            </w:pPr>
            <w:r>
              <w:rPr>
                <w:rFonts w:hint="eastAsia" w:ascii="宋体" w:hAnsi="宋体" w:eastAsia="宋体"/>
                <w:b/>
                <w:szCs w:val="24"/>
                <w:lang w:val="en-US" w:eastAsia="zh-CN"/>
              </w:rPr>
              <w:t>5</w:t>
            </w:r>
          </w:p>
        </w:tc>
        <w:tc>
          <w:tcPr>
            <w:tcW w:w="4465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rPr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  <w:t>2018年1月至今，每具备1个同类图书出版案例，得1分；此项最高得5分。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3" w:hRule="atLeast"/>
          <w:jc w:val="center"/>
        </w:trPr>
        <w:tc>
          <w:tcPr>
            <w:tcW w:w="139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商务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部分（共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0分）</w:t>
            </w: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Cs w:val="24"/>
                <w:lang w:val="en-US" w:eastAsia="zh-CN"/>
              </w:rPr>
              <w:t>售后服务承诺</w:t>
            </w: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</w:rPr>
            </w:pPr>
            <w:r>
              <w:rPr>
                <w:rFonts w:hint="eastAsia" w:ascii="宋体" w:hAnsi="宋体" w:eastAsia="宋体"/>
                <w:b/>
                <w:szCs w:val="24"/>
                <w:lang w:val="en-US" w:eastAsia="zh-CN"/>
              </w:rPr>
              <w:t>20</w:t>
            </w:r>
          </w:p>
        </w:tc>
        <w:tc>
          <w:tcPr>
            <w:tcW w:w="446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根据竞标人的售后服务与承诺优劣进行综合比较评价：</w:t>
            </w:r>
          </w:p>
          <w:p>
            <w:pPr>
              <w:spacing w:line="360" w:lineRule="auto"/>
              <w:jc w:val="lef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1、</w:t>
            </w:r>
            <w:r>
              <w:rPr>
                <w:rFonts w:hint="eastAsia" w:ascii="Arial" w:hAnsi="Arial" w:cs="Arial"/>
                <w:szCs w:val="21"/>
              </w:rPr>
              <w:t>售后服务保障体系及措施完善，技术支持能力强，服务响应快，响应程度高</w:t>
            </w:r>
            <w:r>
              <w:rPr>
                <w:rFonts w:hint="eastAsia" w:ascii="Arial" w:hAnsi="Arial" w:cs="Arial"/>
                <w:szCs w:val="21"/>
                <w:lang w:eastAsia="zh-CN"/>
              </w:rPr>
              <w:t>，</w:t>
            </w:r>
            <w:r>
              <w:rPr>
                <w:rFonts w:hint="eastAsia" w:ascii="Arial" w:hAnsi="Arial" w:cs="Arial"/>
                <w:szCs w:val="21"/>
              </w:rPr>
              <w:t>1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6</w:t>
            </w:r>
            <w:r>
              <w:rPr>
                <w:rFonts w:hint="eastAsia" w:ascii="Arial" w:hAnsi="Arial" w:cs="Arial"/>
                <w:szCs w:val="21"/>
              </w:rPr>
              <w:t>-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20</w:t>
            </w:r>
            <w:r>
              <w:rPr>
                <w:rFonts w:hint="eastAsia" w:ascii="Arial" w:hAnsi="Arial" w:cs="Arial"/>
                <w:szCs w:val="21"/>
              </w:rPr>
              <w:t>分；</w:t>
            </w:r>
          </w:p>
          <w:p>
            <w:pPr>
              <w:spacing w:line="360" w:lineRule="auto"/>
              <w:jc w:val="lef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2、</w:t>
            </w:r>
            <w:r>
              <w:rPr>
                <w:rFonts w:hint="eastAsia" w:ascii="Arial" w:hAnsi="Arial" w:cs="Arial"/>
                <w:szCs w:val="21"/>
              </w:rPr>
              <w:t>售后服务保障体系较好，技术支持能力较强，服务响应较快</w:t>
            </w:r>
            <w:r>
              <w:rPr>
                <w:rFonts w:hint="eastAsia" w:ascii="Arial" w:hAnsi="Arial" w:cs="Arial"/>
                <w:szCs w:val="21"/>
                <w:lang w:eastAsia="zh-CN"/>
              </w:rPr>
              <w:t>，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6</w:t>
            </w:r>
            <w:r>
              <w:rPr>
                <w:rFonts w:hint="eastAsia" w:ascii="Arial" w:hAnsi="Arial" w:cs="Arial"/>
                <w:szCs w:val="21"/>
              </w:rPr>
              <w:t>-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15</w:t>
            </w:r>
            <w:r>
              <w:rPr>
                <w:rFonts w:hint="eastAsia" w:ascii="Arial" w:hAnsi="Arial" w:cs="Arial"/>
                <w:szCs w:val="21"/>
              </w:rPr>
              <w:t>分；</w:t>
            </w:r>
          </w:p>
          <w:p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3、</w:t>
            </w:r>
            <w:r>
              <w:rPr>
                <w:rFonts w:hint="eastAsia" w:ascii="Arial" w:hAnsi="Arial" w:cs="Arial"/>
                <w:szCs w:val="21"/>
              </w:rPr>
              <w:t>售后服务保障体系一般，技术支持能力一般，服务响应较慢</w:t>
            </w:r>
            <w:r>
              <w:rPr>
                <w:rFonts w:hint="eastAsia" w:ascii="Arial" w:hAnsi="Arial" w:cs="Arial"/>
                <w:szCs w:val="21"/>
                <w:lang w:eastAsia="zh-CN"/>
              </w:rPr>
              <w:t>，</w:t>
            </w:r>
            <w:r>
              <w:rPr>
                <w:rFonts w:hint="eastAsia" w:ascii="Arial" w:hAnsi="Arial" w:cs="Arial"/>
                <w:szCs w:val="21"/>
              </w:rPr>
              <w:t>0-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5</w:t>
            </w:r>
            <w:r>
              <w:rPr>
                <w:rFonts w:hint="eastAsia" w:ascii="Arial" w:hAnsi="Arial" w:cs="Arial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Cs w:val="24"/>
                <w:lang w:val="en-US" w:eastAsia="zh-CN"/>
              </w:rPr>
              <w:t>组织结构及项目团队</w:t>
            </w: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</w:rPr>
            </w:pPr>
            <w:r>
              <w:rPr>
                <w:rFonts w:hint="eastAsia" w:ascii="宋体" w:hAnsi="宋体" w:eastAsia="宋体"/>
                <w:b/>
                <w:szCs w:val="24"/>
                <w:lang w:val="en-US" w:eastAsia="zh-CN"/>
              </w:rPr>
              <w:t>10</w:t>
            </w:r>
          </w:p>
        </w:tc>
        <w:tc>
          <w:tcPr>
            <w:tcW w:w="4465" w:type="dxa"/>
            <w:vAlign w:val="center"/>
          </w:tcPr>
          <w:p>
            <w:pPr>
              <w:spacing w:line="360" w:lineRule="auto"/>
              <w:jc w:val="left"/>
              <w:rPr>
                <w:rFonts w:hint="default" w:ascii="Arial" w:hAnsi="Arial" w:cs="Arial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szCs w:val="21"/>
                <w:lang w:val="en-US" w:eastAsia="zh-CN"/>
              </w:rPr>
              <w:t>根据竞标人项目实施团队的组织结构和人员配备优劣进行比较：</w:t>
            </w:r>
          </w:p>
          <w:p>
            <w:pPr>
              <w:spacing w:line="360" w:lineRule="auto"/>
              <w:jc w:val="left"/>
              <w:rPr>
                <w:rFonts w:hint="default" w:ascii="Arial" w:hAnsi="Arial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1、</w:t>
            </w:r>
            <w:r>
              <w:rPr>
                <w:rFonts w:hint="default" w:ascii="Arial" w:hAnsi="Arial" w:cs="Arial"/>
                <w:szCs w:val="21"/>
                <w:lang w:val="en-US" w:eastAsia="zh-CN"/>
              </w:rPr>
              <w:t>组织机构完善、合理，团队人员专业性强、经验丰富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，</w:t>
            </w:r>
            <w:r>
              <w:rPr>
                <w:rFonts w:hint="default" w:ascii="Arial" w:hAnsi="Arial" w:cs="Arial"/>
                <w:szCs w:val="21"/>
                <w:lang w:val="en-US" w:eastAsia="zh-CN"/>
              </w:rPr>
              <w:t>符合项目特点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，</w:t>
            </w:r>
            <w:r>
              <w:rPr>
                <w:rFonts w:hint="default" w:ascii="Arial" w:hAnsi="Arial" w:cs="Arial"/>
                <w:szCs w:val="21"/>
                <w:lang w:val="en-US" w:eastAsia="zh-CN"/>
              </w:rPr>
              <w:t>8-10分；</w:t>
            </w:r>
          </w:p>
          <w:p>
            <w:pPr>
              <w:spacing w:line="360" w:lineRule="auto"/>
              <w:jc w:val="left"/>
              <w:rPr>
                <w:rFonts w:hint="default" w:ascii="Arial" w:hAnsi="Arial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2、</w:t>
            </w:r>
            <w:r>
              <w:rPr>
                <w:rFonts w:hint="default" w:ascii="Arial" w:hAnsi="Arial" w:cs="Arial"/>
                <w:szCs w:val="21"/>
                <w:lang w:val="en-US" w:eastAsia="zh-CN"/>
              </w:rPr>
              <w:t>组织机构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较为</w:t>
            </w:r>
            <w:r>
              <w:rPr>
                <w:rFonts w:hint="default" w:ascii="Arial" w:hAnsi="Arial" w:cs="Arial"/>
                <w:szCs w:val="21"/>
                <w:lang w:val="en-US" w:eastAsia="zh-CN"/>
              </w:rPr>
              <w:t>完善、合理，团队人员专业性较强、经验丰富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，</w:t>
            </w:r>
            <w:r>
              <w:rPr>
                <w:rFonts w:hint="default" w:ascii="Arial" w:hAnsi="Arial" w:cs="Arial"/>
                <w:szCs w:val="21"/>
                <w:lang w:val="en-US" w:eastAsia="zh-CN"/>
              </w:rPr>
              <w:t>符合项目特点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，</w:t>
            </w:r>
            <w:r>
              <w:rPr>
                <w:rFonts w:hint="default" w:ascii="Arial" w:hAnsi="Arial" w:cs="Arial"/>
                <w:szCs w:val="21"/>
                <w:lang w:val="en-US" w:eastAsia="zh-CN"/>
              </w:rPr>
              <w:t>3-7分；</w:t>
            </w:r>
          </w:p>
          <w:p>
            <w:pPr>
              <w:spacing w:line="360" w:lineRule="auto"/>
              <w:jc w:val="left"/>
              <w:rPr>
                <w:rFonts w:hint="default" w:ascii="Arial" w:hAnsi="Arial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3、</w:t>
            </w:r>
            <w:r>
              <w:rPr>
                <w:rFonts w:hint="default" w:ascii="Arial" w:hAnsi="Arial" w:cs="Arial"/>
                <w:szCs w:val="21"/>
                <w:lang w:val="en-US" w:eastAsia="zh-CN"/>
              </w:rPr>
              <w:t>组织人员构成基本合理、专业性欠缺或低于其他投标人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，</w:t>
            </w:r>
            <w:r>
              <w:rPr>
                <w:rFonts w:hint="default" w:ascii="Arial" w:hAnsi="Arial" w:cs="Arial"/>
                <w:szCs w:val="21"/>
                <w:lang w:val="en-US" w:eastAsia="zh-CN"/>
              </w:rPr>
              <w:t>0-2分。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8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Cs w:val="24"/>
              </w:rPr>
              <w:t>合计</w:t>
            </w: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Cs w:val="24"/>
              </w:rPr>
              <w:t>100</w:t>
            </w:r>
          </w:p>
        </w:tc>
        <w:tc>
          <w:tcPr>
            <w:tcW w:w="4465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Arial" w:hAnsi="Arial" w:cs="Arial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4"/>
              </w:rPr>
              <w:t>分档打分的，同档次打分最小分值差为</w:t>
            </w:r>
            <w:r>
              <w:rPr>
                <w:rFonts w:hint="eastAsia" w:ascii="宋体" w:hAnsi="宋体"/>
                <w:b/>
                <w:bCs/>
                <w:szCs w:val="24"/>
              </w:rPr>
              <w:t>0.5</w:t>
            </w:r>
            <w:r>
              <w:rPr>
                <w:rFonts w:hint="eastAsia" w:ascii="宋体" w:hAnsi="宋体"/>
                <w:szCs w:val="24"/>
              </w:rPr>
              <w:t>分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both"/>
        <w:rPr>
          <w:rFonts w:hint="eastAsia"/>
          <w:b/>
          <w:bCs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mZTYwOWYzNTUxNjI5ZjUwYWJjMDZjZDBmZDRmNDAifQ=="/>
  </w:docVars>
  <w:rsids>
    <w:rsidRoot w:val="038A758C"/>
    <w:rsid w:val="00697563"/>
    <w:rsid w:val="0171682F"/>
    <w:rsid w:val="038A758C"/>
    <w:rsid w:val="048A0A3F"/>
    <w:rsid w:val="04A85D69"/>
    <w:rsid w:val="078E30F2"/>
    <w:rsid w:val="08560167"/>
    <w:rsid w:val="0E041BC0"/>
    <w:rsid w:val="1445097E"/>
    <w:rsid w:val="15C82AE5"/>
    <w:rsid w:val="16693400"/>
    <w:rsid w:val="170A1E3F"/>
    <w:rsid w:val="17AC02EB"/>
    <w:rsid w:val="1A66082C"/>
    <w:rsid w:val="1CCB7F8C"/>
    <w:rsid w:val="1D942049"/>
    <w:rsid w:val="1F451414"/>
    <w:rsid w:val="21854583"/>
    <w:rsid w:val="22CD3B3A"/>
    <w:rsid w:val="23500913"/>
    <w:rsid w:val="2503724B"/>
    <w:rsid w:val="25843B53"/>
    <w:rsid w:val="289E3886"/>
    <w:rsid w:val="2A6472EE"/>
    <w:rsid w:val="2CD47877"/>
    <w:rsid w:val="2D485832"/>
    <w:rsid w:val="2D8A4CF7"/>
    <w:rsid w:val="2D9608B4"/>
    <w:rsid w:val="321413E3"/>
    <w:rsid w:val="34DB376C"/>
    <w:rsid w:val="35661288"/>
    <w:rsid w:val="382A62C1"/>
    <w:rsid w:val="39D873F6"/>
    <w:rsid w:val="3ACB2D64"/>
    <w:rsid w:val="3F744E58"/>
    <w:rsid w:val="40712B1E"/>
    <w:rsid w:val="41F246BE"/>
    <w:rsid w:val="42AE0AA2"/>
    <w:rsid w:val="42E63160"/>
    <w:rsid w:val="44FA69B8"/>
    <w:rsid w:val="460A3C4C"/>
    <w:rsid w:val="48400414"/>
    <w:rsid w:val="490B677F"/>
    <w:rsid w:val="49ED5EFA"/>
    <w:rsid w:val="4A3A0296"/>
    <w:rsid w:val="4A533F07"/>
    <w:rsid w:val="4D97219A"/>
    <w:rsid w:val="4FA113E3"/>
    <w:rsid w:val="504B551B"/>
    <w:rsid w:val="53B922D8"/>
    <w:rsid w:val="59BB62D8"/>
    <w:rsid w:val="5DD82C58"/>
    <w:rsid w:val="5E8C52DE"/>
    <w:rsid w:val="5F1C63CC"/>
    <w:rsid w:val="62562AF5"/>
    <w:rsid w:val="634E7346"/>
    <w:rsid w:val="662203BB"/>
    <w:rsid w:val="664C4A15"/>
    <w:rsid w:val="67AC6B78"/>
    <w:rsid w:val="68B01B22"/>
    <w:rsid w:val="6982435B"/>
    <w:rsid w:val="6B6D4C33"/>
    <w:rsid w:val="6B975BF9"/>
    <w:rsid w:val="6C621AA2"/>
    <w:rsid w:val="6D736D63"/>
    <w:rsid w:val="6F5457A2"/>
    <w:rsid w:val="6F92269E"/>
    <w:rsid w:val="72084BE0"/>
    <w:rsid w:val="723F6600"/>
    <w:rsid w:val="72C10F3B"/>
    <w:rsid w:val="74E266B5"/>
    <w:rsid w:val="76DC1A3C"/>
    <w:rsid w:val="77073972"/>
    <w:rsid w:val="795B7FA5"/>
    <w:rsid w:val="7BD23926"/>
    <w:rsid w:val="7FF7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60" w:lineRule="exact"/>
      <w:ind w:leftChars="300" w:firstLine="880" w:firstLineChars="200"/>
      <w:jc w:val="left"/>
    </w:pPr>
    <w:rPr>
      <w:rFonts w:ascii="仿宋_GB2312" w:hAnsi="仿宋_GB2312" w:eastAsia="仿宋_GB2312" w:cs="Times New Roman"/>
      <w:sz w:val="32"/>
      <w:szCs w:val="24"/>
      <w:lang w:val="zh-CN" w:bidi="zh-CN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ody Text Indent"/>
    <w:basedOn w:val="1"/>
    <w:qFormat/>
    <w:uiPriority w:val="99"/>
    <w:pPr>
      <w:spacing w:line="360" w:lineRule="auto"/>
      <w:ind w:firstLine="454"/>
    </w:pPr>
    <w:rPr>
      <w:sz w:val="24"/>
      <w:szCs w:val="24"/>
    </w:rPr>
  </w:style>
  <w:style w:type="paragraph" w:styleId="5">
    <w:name w:val="Plain Text"/>
    <w:basedOn w:val="1"/>
    <w:qFormat/>
    <w:uiPriority w:val="0"/>
    <w:rPr>
      <w:rFonts w:ascii="宋体" w:hAnsi="Courier New"/>
      <w:szCs w:val="21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4"/>
    <w:qFormat/>
    <w:uiPriority w:val="0"/>
    <w:rPr>
      <w:sz w:val="2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904</Words>
  <Characters>962</Characters>
  <Lines>0</Lines>
  <Paragraphs>0</Paragraphs>
  <TotalTime>8</TotalTime>
  <ScaleCrop>false</ScaleCrop>
  <LinksUpToDate>false</LinksUpToDate>
  <CharactersWithSpaces>962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2019-04-17T07:24:00Z</dcterms:created>
  <dc:creator>guowei</dc:creator>
  <cp:lastModifiedBy>小脆</cp:lastModifiedBy>
  <cp:lastPrinted>2020-10-29T01:24:00Z</cp:lastPrinted>
  <dcterms:modified xsi:type="dcterms:W3CDTF">2022-05-17T07:30:47Z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D228E223097045AAB0A6703C01188020</vt:lpwstr>
  </property>
</Properties>
</file>