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Times New Roman"/>
          <w:b/>
          <w:sz w:val="36"/>
          <w:szCs w:val="20"/>
        </w:rPr>
      </w:pPr>
      <w:r>
        <w:rPr>
          <w:rFonts w:hint="eastAsia" w:ascii="宋体" w:hAnsi="宋体" w:eastAsia="宋体" w:cs="Times New Roman"/>
          <w:b/>
          <w:sz w:val="36"/>
          <w:szCs w:val="20"/>
        </w:rPr>
        <w:t>河北省地方志数据库采购项目比选评分标准</w:t>
      </w:r>
    </w:p>
    <w:tbl>
      <w:tblPr>
        <w:tblStyle w:val="4"/>
        <w:tblW w:w="10299" w:type="dxa"/>
        <w:tblInd w:w="-2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"/>
        <w:gridCol w:w="8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9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/>
                <w:b/>
                <w:kern w:val="0"/>
                <w:sz w:val="21"/>
                <w:szCs w:val="21"/>
              </w:rPr>
              <w:t>项目</w:t>
            </w:r>
          </w:p>
        </w:tc>
        <w:tc>
          <w:tcPr>
            <w:tcW w:w="89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/>
                <w:b/>
                <w:kern w:val="0"/>
                <w:sz w:val="21"/>
                <w:szCs w:val="21"/>
                <w:lang w:eastAsia="zh-CN"/>
              </w:rPr>
              <w:t>详细内容及评分规则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</w:trPr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报价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部分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exact"/>
              <w:jc w:val="center"/>
              <w:textAlignment w:val="auto"/>
              <w:rPr>
                <w:rFonts w:hint="eastAsia" w:ascii="宋体" w:hAnsi="宋体" w:eastAsia="宋体" w:cs="Times New Roman"/>
                <w:b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(10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分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89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exact"/>
              <w:textAlignment w:val="auto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（1）价格分采用低价优先法计算，即通过资格性和符合性审查且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投标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价格最低的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投标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报价为评标基准价，其价格得分为满分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exact"/>
              <w:textAlignment w:val="auto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（2）其他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投标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人的价格分统一按照下列公式计算：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exact"/>
              <w:textAlignment w:val="auto"/>
              <w:rPr>
                <w:rFonts w:hint="default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投标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报价得分=(评标基准价／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投标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报价)×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10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exact"/>
              <w:jc w:val="both"/>
              <w:textAlignment w:val="auto"/>
              <w:rPr>
                <w:rFonts w:hint="eastAsia" w:ascii="宋体" w:hAnsi="宋体" w:eastAsia="宋体" w:cs="Times New Roman"/>
                <w:b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注：价格分计算保留小数点后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yellow"/>
                <w:lang w:eastAsia="zh-CN"/>
              </w:rPr>
              <w:t>一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2" w:hRule="atLeast"/>
        </w:trPr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exact"/>
              <w:jc w:val="center"/>
              <w:textAlignment w:val="auto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商务部分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exact"/>
              <w:jc w:val="center"/>
              <w:textAlignment w:val="auto"/>
              <w:rPr>
                <w:rFonts w:hint="eastAsia" w:ascii="宋体" w:hAnsi="宋体" w:eastAsia="宋体" w:cs="Times New Roman"/>
                <w:b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（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分）</w:t>
            </w:r>
          </w:p>
        </w:tc>
        <w:tc>
          <w:tcPr>
            <w:tcW w:w="89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exact"/>
              <w:textAlignment w:val="auto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一</w:t>
            </w: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  <w:t>、实力</w:t>
            </w: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lang w:eastAsia="zh-CN"/>
              </w:rPr>
              <w:t>资质</w:t>
            </w: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  <w:t>（</w:t>
            </w: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  <w:t>分）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exact"/>
              <w:ind w:firstLine="48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、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投标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人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须具有出版物经营许可证、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ISO9001质量管理体系认证证书、地方志计算机软件著作权登记证书和高新技术企业证书。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响应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文件中附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证书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复印件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，上述证书全部提供者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得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，不能全部提供者每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提供一项得1分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exact"/>
              <w:textAlignment w:val="auto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  <w:t>、</w:t>
            </w: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服务</w:t>
            </w: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  <w:t>能力（</w:t>
            </w: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  <w:t>分）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exact"/>
              <w:ind w:firstLine="480"/>
              <w:textAlignment w:val="auto"/>
              <w:rPr>
                <w:rFonts w:hint="default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1、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能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提供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地方志服务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平台</w:t>
            </w:r>
            <w:r>
              <w:rPr>
                <w:rFonts w:ascii="宋体" w:hAnsi="宋体"/>
                <w:color w:val="auto"/>
                <w:sz w:val="21"/>
                <w:szCs w:val="21"/>
              </w:rPr>
              <w:t>说明书及操作手册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等</w:t>
            </w:r>
            <w:r>
              <w:rPr>
                <w:rFonts w:ascii="宋体" w:hAnsi="宋体"/>
                <w:color w:val="auto"/>
                <w:sz w:val="21"/>
                <w:szCs w:val="21"/>
              </w:rPr>
              <w:t>培训资料，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响应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文件中附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说明书及操作手册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复印件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得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3分；否则得0分。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exact"/>
              <w:ind w:firstLine="480"/>
              <w:textAlignment w:val="auto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2、能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每年不定期进行1-2次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地方志服务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平台使用宣传和平台使用培训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响应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文件中附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宣传培训方案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得3分；否则得0分。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exact"/>
              <w:ind w:firstLine="480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3、能对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地方志服务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平台</w:t>
            </w:r>
            <w:r>
              <w:rPr>
                <w:rFonts w:ascii="宋体" w:hAnsi="宋体"/>
                <w:color w:val="auto"/>
                <w:sz w:val="21"/>
                <w:szCs w:val="21"/>
              </w:rPr>
              <w:t>bug的功能提供免费升级服务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，响应文件中作出承诺并附服务方案得4分；否则得0分。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exact"/>
              <w:textAlignment w:val="auto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三</w:t>
            </w: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  <w:t>、</w:t>
            </w: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lang w:eastAsia="zh-CN"/>
              </w:rPr>
              <w:t>同类</w:t>
            </w: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  <w:t>业绩（</w:t>
            </w: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  <w:t>分）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exact"/>
              <w:textAlignment w:val="auto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 xml:space="preserve">    1、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投标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人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须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提供201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年以来（含）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方志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项目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业绩在20万及以上的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合同,每提供一份得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3分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，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本项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最多得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exact"/>
              <w:jc w:val="both"/>
              <w:textAlignment w:val="auto"/>
              <w:rPr>
                <w:rFonts w:hint="eastAsia" w:ascii="宋体" w:hAnsi="宋体" w:eastAsia="宋体" w:cs="Times New Roman"/>
                <w:b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  <w:t>注：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类似项目提供合同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的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内容须包含合同首页、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方志项目内容页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及金额所在页、合同签订时间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和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双方签字盖章页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，响应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文件中附复印件。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9" w:hRule="atLeast"/>
        </w:trPr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技术部分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exact"/>
              <w:jc w:val="center"/>
              <w:textAlignment w:val="auto"/>
              <w:rPr>
                <w:rFonts w:hint="eastAsia" w:ascii="宋体" w:hAnsi="宋体" w:eastAsia="宋体" w:cs="Times New Roman"/>
                <w:b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（60分）</w:t>
            </w:r>
          </w:p>
        </w:tc>
        <w:tc>
          <w:tcPr>
            <w:tcW w:w="89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exact"/>
              <w:textAlignment w:val="auto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一、内容要求（30分）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exact"/>
              <w:textAlignment w:val="auto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地方志服务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平台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网络版资源范围（15分）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（1）旧方志：1949年以前编纂出版的文献，收集资源总量大于100000卷得10分；60000卷-100000卷得6分；30000卷-60000卷得4分；1卷-30000卷得2分；无收集得0分。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（2）新方志： 1949年以后编纂出版的文献，收集资源总量大于50000册得5分；20000册-50000册得3分；10000册-20000册得2分；1册-10000册得1分；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无收集得0分。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2、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地方志服务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平台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网络版资源质量（10分）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（1）新方志全文文件采用国际通用的PDF阅读浏览格式，保持原书原貌得5分；否则得0分。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（2）省、市、县三级地方志资源覆盖率90%以上得5分；60%-90%得3分；30%-60%得2分；低于30%得1分；无覆盖得0分。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支持新旧地方志资源扩充功能（5分）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（1）能提供符合镜像系统服务需要的规范化地方志纸质文献加工服务得5分；否则得0分。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exact"/>
              <w:textAlignment w:val="auto"/>
              <w:rPr>
                <w:rFonts w:hint="default" w:ascii="宋体" w:hAnsi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二、功能要求（30分）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exact"/>
              <w:jc w:val="left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（1）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地方志服务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平台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能提供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新旧方志同一平台统一检索功能，响应文件附产品截图得10分；否则得0分。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exact"/>
              <w:jc w:val="left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（2）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地方志服务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平台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能提供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新旧方志同期刊论文、学位论文和会议论文等学术文献统一检索发现功能，响应文件附产品截图得10分；否则得0分。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（3）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地方志服务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平台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能提供志书导航、相关条目等知识链接服务功能，响应文件附产品截图得5分；否则得0分。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exact"/>
              <w:jc w:val="left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（4）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地方志服务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平台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能提供新旧方志地图导航、旧方志按地区和年代分类导航、新方志按地区和专题分类导航功能得5分；否则得0分。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exact"/>
              <w:jc w:val="both"/>
              <w:textAlignment w:val="auto"/>
              <w:rPr>
                <w:rFonts w:hint="default" w:ascii="宋体" w:hAnsi="宋体" w:eastAsia="宋体" w:cs="Times New Roman"/>
                <w:b/>
                <w:color w:val="auto"/>
                <w:sz w:val="21"/>
                <w:szCs w:val="21"/>
                <w:vertAlign w:val="baseline"/>
                <w:lang w:val="en-US"/>
              </w:rPr>
            </w:pPr>
          </w:p>
        </w:tc>
      </w:tr>
    </w:tbl>
    <w:p>
      <w:pPr>
        <w:spacing w:line="360" w:lineRule="auto"/>
        <w:jc w:val="both"/>
        <w:rPr>
          <w:rFonts w:hint="eastAsia" w:ascii="宋体" w:hAnsi="宋体" w:eastAsia="宋体" w:cs="Times New Roman"/>
          <w:b/>
          <w:color w:val="auto"/>
          <w:sz w:val="36"/>
          <w:szCs w:val="20"/>
        </w:rPr>
      </w:pP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108A5C"/>
    <w:multiLevelType w:val="singleLevel"/>
    <w:tmpl w:val="FF108A5C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gutterAtTop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4ODg3ZTcyNmQ4YWVhZjc1N2RiM2UzMmU5OWNhYzQifQ=="/>
  </w:docVars>
  <w:rsids>
    <w:rsidRoot w:val="00000000"/>
    <w:rsid w:val="1FE7295C"/>
    <w:rsid w:val="2F2E283E"/>
    <w:rsid w:val="32D0158D"/>
    <w:rsid w:val="42A423E6"/>
    <w:rsid w:val="65E9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1122</Words>
  <Characters>1233</Characters>
  <Lines>0</Lines>
  <Paragraphs>0</Paragraphs>
  <TotalTime>61</TotalTime>
  <ScaleCrop>false</ScaleCrop>
  <LinksUpToDate>false</LinksUpToDate>
  <CharactersWithSpaces>1238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2022-07-29T06:06:00Z</dcterms:created>
  <dc:creator>Administrator</dc:creator>
  <cp:lastModifiedBy>zx</cp:lastModifiedBy>
  <dcterms:modified xsi:type="dcterms:W3CDTF">2022-08-23T05:14:46Z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1E7849B35EFD4076900978F1A367D710</vt:lpwstr>
  </property>
</Properties>
</file>