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i w:val="0"/>
          <w:iCs w:val="0"/>
          <w:caps w:val="0"/>
          <w:color w:val="auto"/>
          <w:spacing w:val="0"/>
          <w:sz w:val="36"/>
          <w:szCs w:val="36"/>
        </w:rPr>
      </w:pPr>
      <w:bookmarkStart w:id="0" w:name="_GoBack"/>
      <w:r>
        <w:rPr>
          <w:rFonts w:hint="eastAsia" w:ascii="黑体" w:hAnsi="黑体" w:eastAsia="黑体" w:cs="黑体"/>
          <w:b/>
          <w:bCs/>
          <w:i w:val="0"/>
          <w:iCs w:val="0"/>
          <w:caps w:val="0"/>
          <w:color w:val="auto"/>
          <w:spacing w:val="0"/>
          <w:sz w:val="36"/>
          <w:szCs w:val="36"/>
          <w:lang w:val="en-US" w:eastAsia="zh-CN"/>
        </w:rPr>
        <w:t>河北博物院票务预约系统</w:t>
      </w:r>
      <w:r>
        <w:rPr>
          <w:rFonts w:hint="eastAsia" w:ascii="黑体" w:hAnsi="黑体" w:eastAsia="黑体" w:cs="黑体"/>
          <w:b/>
          <w:bCs/>
          <w:i w:val="0"/>
          <w:iCs w:val="0"/>
          <w:caps w:val="0"/>
          <w:color w:val="auto"/>
          <w:spacing w:val="0"/>
          <w:sz w:val="36"/>
          <w:szCs w:val="36"/>
        </w:rPr>
        <w:t>等级保护测评项目</w:t>
      </w:r>
    </w:p>
    <w:p>
      <w:pPr>
        <w:jc w:val="center"/>
        <w:rPr>
          <w:rFonts w:hint="eastAsia" w:ascii="黑体" w:hAnsi="黑体" w:eastAsia="黑体" w:cs="黑体"/>
          <w:b/>
          <w:bCs/>
          <w:i w:val="0"/>
          <w:iCs w:val="0"/>
          <w:caps w:val="0"/>
          <w:color w:val="auto"/>
          <w:spacing w:val="0"/>
          <w:sz w:val="36"/>
          <w:szCs w:val="36"/>
          <w:lang w:val="en-US" w:eastAsia="zh-CN"/>
        </w:rPr>
      </w:pPr>
      <w:r>
        <w:rPr>
          <w:rFonts w:hint="eastAsia" w:ascii="黑体" w:hAnsi="黑体" w:eastAsia="黑体" w:cs="黑体"/>
          <w:b/>
          <w:bCs/>
          <w:i w:val="0"/>
          <w:iCs w:val="0"/>
          <w:caps w:val="0"/>
          <w:color w:val="auto"/>
          <w:spacing w:val="0"/>
          <w:sz w:val="36"/>
          <w:szCs w:val="36"/>
          <w:lang w:val="en-US" w:eastAsia="zh-CN"/>
        </w:rPr>
        <w:t>评分标准</w:t>
      </w:r>
    </w:p>
    <w:bookmarkEnd w:id="0"/>
    <w:tbl>
      <w:tblPr>
        <w:tblStyle w:val="13"/>
        <w:tblW w:w="8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559"/>
        <w:gridCol w:w="5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331" w:type="dxa"/>
            <w:shd w:val="clear" w:color="auto" w:fill="auto"/>
            <w:vAlign w:val="center"/>
          </w:tcPr>
          <w:p>
            <w:pPr>
              <w:jc w:val="center"/>
              <w:rPr>
                <w:b/>
                <w:sz w:val="28"/>
                <w:szCs w:val="28"/>
              </w:rPr>
            </w:pPr>
            <w:r>
              <w:rPr>
                <w:rFonts w:hint="eastAsia"/>
                <w:b/>
                <w:sz w:val="24"/>
                <w:szCs w:val="28"/>
              </w:rPr>
              <w:t>评审内容</w:t>
            </w:r>
          </w:p>
        </w:tc>
        <w:tc>
          <w:tcPr>
            <w:tcW w:w="1559" w:type="dxa"/>
            <w:shd w:val="clear" w:color="auto" w:fill="auto"/>
            <w:vAlign w:val="center"/>
          </w:tcPr>
          <w:p>
            <w:pPr>
              <w:jc w:val="center"/>
              <w:rPr>
                <w:b/>
              </w:rPr>
            </w:pPr>
            <w:r>
              <w:rPr>
                <w:rFonts w:hint="eastAsia"/>
                <w:b/>
                <w:sz w:val="24"/>
              </w:rPr>
              <w:t>分值标准</w:t>
            </w:r>
          </w:p>
        </w:tc>
        <w:tc>
          <w:tcPr>
            <w:tcW w:w="5526" w:type="dxa"/>
            <w:shd w:val="clear" w:color="auto" w:fill="auto"/>
            <w:vAlign w:val="center"/>
          </w:tcPr>
          <w:p>
            <w:pPr>
              <w:jc w:val="center"/>
              <w:rPr>
                <w:b/>
              </w:rPr>
            </w:pPr>
            <w:r>
              <w:rPr>
                <w:rFonts w:hint="eastAsia"/>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1" w:type="dxa"/>
            <w:shd w:val="clear" w:color="auto" w:fill="auto"/>
            <w:vAlign w:val="center"/>
          </w:tcPr>
          <w:p>
            <w:pPr>
              <w:jc w:val="center"/>
            </w:pPr>
            <w:r>
              <w:rPr>
                <w:rFonts w:hint="eastAsia"/>
              </w:rPr>
              <w:t>报价</w:t>
            </w:r>
          </w:p>
          <w:p>
            <w:pPr>
              <w:jc w:val="center"/>
            </w:pPr>
            <w:r>
              <w:rPr>
                <w:rFonts w:hint="eastAsia"/>
              </w:rPr>
              <w:t>（共2</w:t>
            </w:r>
            <w:r>
              <w:t>0</w:t>
            </w:r>
            <w:r>
              <w:rPr>
                <w:rFonts w:hint="eastAsia"/>
              </w:rPr>
              <w:t>分）</w:t>
            </w:r>
          </w:p>
        </w:tc>
        <w:tc>
          <w:tcPr>
            <w:tcW w:w="1559" w:type="dxa"/>
            <w:shd w:val="clear" w:color="auto" w:fill="auto"/>
            <w:vAlign w:val="center"/>
          </w:tcPr>
          <w:p>
            <w:pPr>
              <w:jc w:val="center"/>
            </w:pPr>
            <w:r>
              <w:rPr>
                <w:rFonts w:hint="eastAsia"/>
              </w:rPr>
              <w:t>投标报价</w:t>
            </w:r>
          </w:p>
          <w:p>
            <w:pPr>
              <w:jc w:val="center"/>
            </w:pPr>
            <w:r>
              <w:rPr>
                <w:rFonts w:hint="eastAsia"/>
              </w:rPr>
              <w:t>（</w:t>
            </w:r>
            <w:r>
              <w:t>2</w:t>
            </w:r>
            <w:r>
              <w:rPr>
                <w:rFonts w:hint="eastAsia"/>
              </w:rPr>
              <w:t>0分）</w:t>
            </w:r>
          </w:p>
        </w:tc>
        <w:tc>
          <w:tcPr>
            <w:tcW w:w="5526" w:type="dxa"/>
            <w:shd w:val="clear" w:color="auto" w:fill="auto"/>
            <w:vAlign w:val="center"/>
          </w:tcPr>
          <w:p>
            <w:r>
              <w:rPr>
                <w:rFonts w:hint="eastAsia"/>
              </w:rPr>
              <w:t>报价得分＝（基准价／最后报价）×20</w:t>
            </w:r>
          </w:p>
          <w:p>
            <w:r>
              <w:rPr>
                <w:rFonts w:hint="eastAsia"/>
              </w:rPr>
              <w:t>注：基准价为满足招标文件要求且报价最低的供应商的价格。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1" w:type="dxa"/>
            <w:vMerge w:val="restart"/>
            <w:shd w:val="clear" w:color="auto" w:fill="auto"/>
            <w:vAlign w:val="center"/>
          </w:tcPr>
          <w:p>
            <w:pPr>
              <w:jc w:val="center"/>
            </w:pPr>
            <w:r>
              <w:rPr>
                <w:rFonts w:hint="eastAsia"/>
              </w:rPr>
              <w:t>商务部分</w:t>
            </w:r>
          </w:p>
          <w:p>
            <w:pPr>
              <w:jc w:val="center"/>
            </w:pPr>
            <w:r>
              <w:rPr>
                <w:rFonts w:hint="eastAsia"/>
              </w:rPr>
              <w:t>（共</w:t>
            </w:r>
            <w:r>
              <w:t>25</w:t>
            </w:r>
            <w:r>
              <w:rPr>
                <w:rFonts w:hint="eastAsia"/>
              </w:rPr>
              <w:t>分）</w:t>
            </w:r>
          </w:p>
        </w:tc>
        <w:tc>
          <w:tcPr>
            <w:tcW w:w="1559" w:type="dxa"/>
            <w:shd w:val="clear" w:color="auto" w:fill="auto"/>
            <w:vAlign w:val="center"/>
          </w:tcPr>
          <w:p>
            <w:pPr>
              <w:jc w:val="center"/>
            </w:pPr>
            <w:r>
              <w:rPr>
                <w:rFonts w:hint="eastAsia"/>
              </w:rPr>
              <w:t>企业综合实力</w:t>
            </w:r>
          </w:p>
          <w:p>
            <w:pPr>
              <w:jc w:val="center"/>
            </w:pPr>
            <w:r>
              <w:rPr>
                <w:rFonts w:hint="eastAsia"/>
              </w:rPr>
              <w:t>（</w:t>
            </w:r>
            <w:r>
              <w:t>15</w:t>
            </w:r>
            <w:r>
              <w:rPr>
                <w:rFonts w:hint="eastAsia"/>
              </w:rPr>
              <w:t>分）</w:t>
            </w:r>
          </w:p>
        </w:tc>
        <w:tc>
          <w:tcPr>
            <w:tcW w:w="5526" w:type="dxa"/>
            <w:shd w:val="clear" w:color="auto" w:fill="auto"/>
            <w:vAlign w:val="center"/>
          </w:tcPr>
          <w:p>
            <w:r>
              <w:t>1</w:t>
            </w:r>
            <w:r>
              <w:rPr>
                <w:rFonts w:hint="eastAsia"/>
              </w:rPr>
              <w:t>.企业具备ISO9001质量管理体系认证证书的，得</w:t>
            </w:r>
            <w:r>
              <w:t>2</w:t>
            </w:r>
            <w:r>
              <w:rPr>
                <w:rFonts w:hint="eastAsia"/>
              </w:rPr>
              <w:t>分。</w:t>
            </w:r>
          </w:p>
          <w:p>
            <w:r>
              <w:t>2.</w:t>
            </w:r>
            <w:r>
              <w:rPr>
                <w:rFonts w:hint="eastAsia"/>
              </w:rPr>
              <w:t>企业具备《信息技术服务管理体系认证证书》、《信息安全管理体系认证证书》的，得</w:t>
            </w:r>
            <w:r>
              <w:t>3</w:t>
            </w:r>
            <w:r>
              <w:rPr>
                <w:rFonts w:hint="eastAsia"/>
              </w:rPr>
              <w:t>分。</w:t>
            </w:r>
          </w:p>
          <w:p>
            <w:r>
              <w:t>3.</w:t>
            </w:r>
            <w:r>
              <w:rPr>
                <w:rFonts w:hint="eastAsia"/>
              </w:rPr>
              <w:t>企业具备国家互联网应急中心颁发的有效期内的省级或以上级别的《网络安全应急服务支撑单位证书》得</w:t>
            </w:r>
            <w:r>
              <w:t>10</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1" w:type="dxa"/>
            <w:vMerge w:val="continue"/>
            <w:shd w:val="clear" w:color="auto" w:fill="auto"/>
            <w:vAlign w:val="center"/>
          </w:tcPr>
          <w:p>
            <w:pPr>
              <w:jc w:val="center"/>
            </w:pPr>
          </w:p>
        </w:tc>
        <w:tc>
          <w:tcPr>
            <w:tcW w:w="1559" w:type="dxa"/>
            <w:shd w:val="clear" w:color="auto" w:fill="auto"/>
            <w:vAlign w:val="center"/>
          </w:tcPr>
          <w:p>
            <w:pPr>
              <w:jc w:val="center"/>
            </w:pPr>
            <w:r>
              <w:rPr>
                <w:rFonts w:hint="eastAsia"/>
              </w:rPr>
              <w:t>相似</w:t>
            </w:r>
            <w:r>
              <w:t>业绩</w:t>
            </w:r>
          </w:p>
          <w:p>
            <w:pPr>
              <w:jc w:val="center"/>
            </w:pPr>
            <w:r>
              <w:t>（10分）</w:t>
            </w:r>
          </w:p>
        </w:tc>
        <w:tc>
          <w:tcPr>
            <w:tcW w:w="5526" w:type="dxa"/>
            <w:shd w:val="clear" w:color="auto" w:fill="auto"/>
          </w:tcPr>
          <w:p>
            <w:r>
              <w:rPr>
                <w:rFonts w:hint="eastAsia"/>
              </w:rPr>
              <w:t>1.近三年内，每具备1个等保测评服务合同案例，得</w:t>
            </w:r>
            <w:r>
              <w:t>2</w:t>
            </w:r>
            <w:r>
              <w:rPr>
                <w:rFonts w:hint="eastAsia"/>
              </w:rPr>
              <w:t>分，此项</w:t>
            </w:r>
            <w:r>
              <w:t>最高得10分</w:t>
            </w:r>
            <w:r>
              <w:rPr>
                <w:rFonts w:hint="eastAsia"/>
              </w:rPr>
              <w:t>。</w:t>
            </w:r>
          </w:p>
          <w:p>
            <w:r>
              <w:t>注明:以与最终用户签订的合同原件</w:t>
            </w:r>
            <w:r>
              <w:rPr>
                <w:rFonts w:hint="eastAsia"/>
                <w:lang w:eastAsia="zh-CN"/>
              </w:rPr>
              <w:t>（</w:t>
            </w:r>
            <w:r>
              <w:rPr>
                <w:rFonts w:hint="eastAsia"/>
                <w:lang w:val="en-US" w:eastAsia="zh-CN"/>
              </w:rPr>
              <w:t>或复印件</w:t>
            </w:r>
            <w:r>
              <w:rPr>
                <w:rFonts w:hint="eastAsia"/>
                <w:lang w:eastAsia="zh-CN"/>
              </w:rPr>
              <w:t>）</w:t>
            </w:r>
            <w:r>
              <w:t>为准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1" w:type="dxa"/>
            <w:vMerge w:val="restart"/>
            <w:shd w:val="clear" w:color="auto" w:fill="auto"/>
            <w:vAlign w:val="center"/>
          </w:tcPr>
          <w:p>
            <w:pPr>
              <w:jc w:val="center"/>
            </w:pPr>
            <w:r>
              <w:rPr>
                <w:rFonts w:hint="eastAsia"/>
              </w:rPr>
              <w:t>技术部分</w:t>
            </w:r>
          </w:p>
          <w:p>
            <w:pPr>
              <w:jc w:val="center"/>
            </w:pPr>
            <w:r>
              <w:rPr>
                <w:rFonts w:hint="eastAsia"/>
              </w:rPr>
              <w:t>（共</w:t>
            </w:r>
            <w:r>
              <w:t>55</w:t>
            </w:r>
            <w:r>
              <w:rPr>
                <w:rFonts w:hint="eastAsia"/>
              </w:rPr>
              <w:t>分）</w:t>
            </w:r>
          </w:p>
        </w:tc>
        <w:tc>
          <w:tcPr>
            <w:tcW w:w="1559"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技术方案</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分）</w:t>
            </w:r>
          </w:p>
        </w:tc>
        <w:tc>
          <w:tcPr>
            <w:tcW w:w="5526" w:type="dxa"/>
            <w:shd w:val="clear" w:color="auto" w:fill="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技术方案先进、合理、完整，思路清晰，符合国家相关标准和规范，完全满足采购需求；方案结构层次结构合理，结构清晰，完全符合标准要求,得1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 xml:space="preserve">分；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技术方案基本合理，符合国家相关标准和规范，基本满足采购需求；软件结构层次结构较合理，结构较清晰。得</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 xml:space="preserve">-10分；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技术方案在满足用户要求方面欠缺，思路欠清晰，低于其他档次供应商；软件结构层次结构欠合理或结构欠清晰,得0-5分。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1" w:type="dxa"/>
            <w:vMerge w:val="continue"/>
            <w:shd w:val="clear" w:color="auto" w:fill="auto"/>
            <w:vAlign w:val="center"/>
          </w:tcPr>
          <w:p>
            <w:pPr>
              <w:jc w:val="center"/>
            </w:pPr>
          </w:p>
        </w:tc>
        <w:tc>
          <w:tcPr>
            <w:tcW w:w="1559"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培训方案</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（10分）</w:t>
            </w:r>
          </w:p>
        </w:tc>
        <w:tc>
          <w:tcPr>
            <w:tcW w:w="5526" w:type="dxa"/>
            <w:shd w:val="clear" w:color="auto" w:fill="auto"/>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按照项目培训安排的优劣进行比较评价：</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培训计划及培训内容方面安排合理可行，满足用户要求，培训讲师为网络安全专家委员会专家具备国家级重大活动网络安全保卫工作经验并能够提供证明文件的得6.5-10分；</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培训计划及培训内容方面安排合理可行，培训讲师具备网络安全经验，满足用户要求，但有不足之处，得3.5-6分；</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无培训计划或培训内容方面安排有缺陷，得0-3分。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投标方需提供项目组成员社保证明，社保证明与投标公司不一致的不得分。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1" w:type="dxa"/>
            <w:vMerge w:val="continue"/>
            <w:shd w:val="clear" w:color="auto" w:fill="auto"/>
            <w:vAlign w:val="center"/>
          </w:tcPr>
          <w:p>
            <w:pPr>
              <w:jc w:val="center"/>
            </w:pPr>
          </w:p>
        </w:tc>
        <w:tc>
          <w:tcPr>
            <w:tcW w:w="1559" w:type="dxa"/>
            <w:shd w:val="clear" w:color="auto" w:fill="auto"/>
            <w:vAlign w:val="center"/>
          </w:tcPr>
          <w:p>
            <w:pPr>
              <w:jc w:val="center"/>
            </w:pPr>
            <w:r>
              <w:rPr>
                <w:rFonts w:hint="eastAsia"/>
              </w:rPr>
              <w:t>售后服务承诺</w:t>
            </w:r>
          </w:p>
          <w:p>
            <w:pPr>
              <w:jc w:val="center"/>
            </w:pPr>
            <w:r>
              <w:rPr>
                <w:rFonts w:hint="eastAsia"/>
              </w:rPr>
              <w:t>（</w:t>
            </w:r>
            <w:r>
              <w:t>10</w:t>
            </w:r>
            <w:r>
              <w:rPr>
                <w:rFonts w:hint="eastAsia"/>
              </w:rPr>
              <w:t>分）</w:t>
            </w:r>
          </w:p>
        </w:tc>
        <w:tc>
          <w:tcPr>
            <w:tcW w:w="5526" w:type="dxa"/>
            <w:shd w:val="clear" w:color="auto" w:fill="auto"/>
            <w:vAlign w:val="center"/>
          </w:tcPr>
          <w:p>
            <w:pPr>
              <w:rPr>
                <w:rFonts w:hint="eastAsia"/>
              </w:rPr>
            </w:pPr>
            <w:r>
              <w:rPr>
                <w:rFonts w:hint="eastAsia"/>
              </w:rPr>
              <w:t>根据供应商的售后服务、应急响应等技术支持能力与承诺优劣进行综合比较评价：</w:t>
            </w:r>
          </w:p>
          <w:p>
            <w:pPr>
              <w:rPr>
                <w:rFonts w:hint="eastAsia"/>
              </w:rPr>
            </w:pPr>
            <w:r>
              <w:rPr>
                <w:rFonts w:hint="eastAsia"/>
              </w:rPr>
              <w:t>售后服务保障体系及措施完善，技术支持能力强，服务响应快，供应商具备国家计算机网络应急技术处理协调中心颁发的网络安全应急服务支撑单位资质，得7-10分；</w:t>
            </w:r>
          </w:p>
          <w:p>
            <w:pPr>
              <w:rPr>
                <w:rFonts w:hint="eastAsia"/>
              </w:rPr>
            </w:pPr>
            <w:r>
              <w:rPr>
                <w:rFonts w:hint="eastAsia"/>
              </w:rPr>
              <w:t>售后服务保障体系及多措施较好，技术支持能力较强，服务响应较快，供应商具备省内互联网应急中心颁发的网络安全应急服务支撑单位资质，满足采购需求，得3.5-6.5分；</w:t>
            </w:r>
          </w:p>
          <w:p>
            <w:r>
              <w:rPr>
                <w:rFonts w:hint="eastAsia"/>
              </w:rPr>
              <w:t>售后服务保障体系及措施基本符合招标要求，但技术支持能力和服务响应速度较差或一般，得0-3分。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1" w:type="dxa"/>
            <w:vMerge w:val="continue"/>
            <w:shd w:val="clear" w:color="auto" w:fill="auto"/>
            <w:vAlign w:val="center"/>
          </w:tcPr>
          <w:p>
            <w:pPr>
              <w:jc w:val="center"/>
            </w:pPr>
          </w:p>
        </w:tc>
        <w:tc>
          <w:tcPr>
            <w:tcW w:w="1559" w:type="dxa"/>
            <w:shd w:val="clear" w:color="auto" w:fill="auto"/>
            <w:vAlign w:val="center"/>
          </w:tcPr>
          <w:p>
            <w:pPr>
              <w:jc w:val="center"/>
            </w:pPr>
            <w:r>
              <w:t>项目人员配置</w:t>
            </w:r>
          </w:p>
          <w:p>
            <w:pPr>
              <w:jc w:val="center"/>
            </w:pPr>
            <w:r>
              <w:t>（20分）</w:t>
            </w:r>
          </w:p>
        </w:tc>
        <w:tc>
          <w:tcPr>
            <w:tcW w:w="5526" w:type="dxa"/>
            <w:shd w:val="clear" w:color="auto" w:fill="auto"/>
            <w:vAlign w:val="center"/>
          </w:tcPr>
          <w:p>
            <w:r>
              <w:t>1</w:t>
            </w:r>
            <w:r>
              <w:rPr>
                <w:rFonts w:hint="eastAsia"/>
              </w:rPr>
              <w:t>参选人为本项目配备的高级测评师，且具备注册信息安全人员（CISP）、注册网络安全渗透评估专业人员（NSATP-A）、IT服务项目经理（ITSS）和信息安全应急人员认证（CCSRP）证书</w:t>
            </w:r>
            <w:r>
              <w:rPr>
                <w:rFonts w:hint="eastAsia"/>
                <w:lang w:val="en-US" w:eastAsia="zh-CN"/>
              </w:rPr>
              <w:t>的</w:t>
            </w:r>
            <w:r>
              <w:rPr>
                <w:rFonts w:hint="eastAsia"/>
              </w:rPr>
              <w:t>，得1</w:t>
            </w:r>
            <w:r>
              <w:t>0</w:t>
            </w:r>
            <w:r>
              <w:rPr>
                <w:rFonts w:hint="eastAsia"/>
              </w:rPr>
              <w:t>分。</w:t>
            </w:r>
          </w:p>
          <w:p>
            <w:r>
              <w:t>2.</w:t>
            </w:r>
            <w:r>
              <w:rPr>
                <w:rFonts w:hint="eastAsia"/>
              </w:rPr>
              <w:t xml:space="preserve"> 项目组成员具备国家级网络安全保障工作经验，并具备相应证明文件的，累计证明文件不少于3份，得1</w:t>
            </w:r>
            <w:r>
              <w:t>0</w:t>
            </w:r>
            <w:r>
              <w:rPr>
                <w:rFonts w:hint="eastAsia"/>
              </w:rPr>
              <w:t>分；</w:t>
            </w:r>
          </w:p>
          <w:p>
            <w:r>
              <w:rPr>
                <w:rFonts w:hint="eastAsia"/>
              </w:rPr>
              <w:t>注：项目人员需提交社保证明，社保证明与投标公司不符的，不计分。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方圆魂心体"/>
    <w:panose1 w:val="00000000000000000000"/>
    <w:charset w:val="00"/>
    <w:family w:val="auto"/>
    <w:pitch w:val="default"/>
    <w:sig w:usb0="00000000" w:usb1="00000000" w:usb2="00000000" w:usb3="00000000" w:csb0="00000000" w:csb1="00000000"/>
  </w:font>
  <w:font w:name="方圆魂心体">
    <w:panose1 w:val="02000009000000000000"/>
    <w:charset w:val="80"/>
    <w:family w:val="auto"/>
    <w:pitch w:val="default"/>
    <w:sig w:usb0="A1007AEF" w:usb1="F9DF7CFB" w:usb2="0000001E" w:usb3="00000000" w:csb0="2002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328FB"/>
    <w:multiLevelType w:val="multilevel"/>
    <w:tmpl w:val="62B328FB"/>
    <w:lvl w:ilvl="0" w:tentative="0">
      <w:start w:val="1"/>
      <w:numFmt w:val="chineseCountingThousand"/>
      <w:pStyle w:val="23"/>
      <w:lvlText w:val="%1、"/>
      <w:lvlJc w:val="left"/>
      <w:pPr>
        <w:ind w:left="432" w:hanging="432"/>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1" w:tentative="0">
      <w:start w:val="1"/>
      <w:numFmt w:val="decimal"/>
      <w:pStyle w:val="25"/>
      <w:isLgl/>
      <w:lvlText w:val="%1.%2"/>
      <w:lvlJc w:val="left"/>
      <w:pPr>
        <w:ind w:left="576" w:hanging="576"/>
      </w:pPr>
      <w:rPr>
        <w:rFonts w:hint="default" w:ascii="Arial" w:hAnsi="Arial" w:cs="Arial"/>
      </w:rPr>
    </w:lvl>
    <w:lvl w:ilvl="2" w:tentative="0">
      <w:start w:val="1"/>
      <w:numFmt w:val="decimal"/>
      <w:isLgl/>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3" w:tentative="0">
      <w:start w:val="1"/>
      <w:numFmt w:val="decimal"/>
      <w:pStyle w:val="29"/>
      <w:isLgl/>
      <w:lvlText w:val="%1.%2.%3.%4"/>
      <w:lvlJc w:val="left"/>
      <w:pPr>
        <w:ind w:left="864" w:hanging="864"/>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4" w:tentative="0">
      <w:start w:val="1"/>
      <w:numFmt w:val="decimal"/>
      <w:pStyle w:val="31"/>
      <w:isLgl/>
      <w:lvlText w:val="%1.%2.%3.%4.%5"/>
      <w:lvlJc w:val="left"/>
      <w:pPr>
        <w:ind w:left="1008" w:hanging="1008"/>
      </w:pPr>
      <w:rPr>
        <w:rFonts w:hint="default" w:ascii="Arial" w:hAnsi="Arial" w:cs="Arial"/>
        <w:b w:val="0"/>
        <w:bCs w:val="0"/>
        <w:i w:val="0"/>
        <w:iCs w:val="0"/>
        <w:caps w:val="0"/>
        <w:smallCaps w:val="0"/>
        <w:strike w:val="0"/>
        <w:dstrike w:val="0"/>
        <w:outline w:val="0"/>
        <w:shadow w:val="0"/>
        <w:emboss w:val="0"/>
        <w:imprint w:val="0"/>
        <w:vanish w:val="0"/>
        <w:spacing w:val="0"/>
        <w:position w:val="0"/>
        <w:u w:val="none"/>
        <w:vertAlign w:val="baseline"/>
      </w:rPr>
    </w:lvl>
    <w:lvl w:ilvl="5" w:tentative="0">
      <w:start w:val="1"/>
      <w:numFmt w:val="decimal"/>
      <w:isLgl/>
      <w:lvlText w:val="%1.%2.%3.%4.%5.%6"/>
      <w:lvlJc w:val="left"/>
      <w:pPr>
        <w:ind w:left="2287" w:hanging="1152"/>
      </w:pPr>
      <w:rPr>
        <w:rFonts w:hint="default" w:ascii="Arial" w:hAnsi="Arial" w:cs="Arial"/>
        <w:b/>
        <w:bCs w:val="0"/>
        <w:i w:val="0"/>
        <w:iCs w:val="0"/>
        <w:caps w:val="0"/>
        <w:smallCaps w:val="0"/>
        <w:strike w:val="0"/>
        <w:dstrike w:val="0"/>
        <w:outline w:val="0"/>
        <w:shadow w:val="0"/>
        <w:emboss w:val="0"/>
        <w:imprint w:val="0"/>
        <w:vanish w:val="0"/>
        <w:spacing w:val="0"/>
        <w:position w:val="0"/>
        <w:u w:val="none"/>
        <w:vertAlign w:val="baseline"/>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NDA5YzlhOGVjYjAyNWFjNWZhNjA3YTVmOTIyNzYifQ=="/>
  </w:docVars>
  <w:rsids>
    <w:rsidRoot w:val="00074940"/>
    <w:rsid w:val="00074940"/>
    <w:rsid w:val="00105C20"/>
    <w:rsid w:val="001B2482"/>
    <w:rsid w:val="001B541A"/>
    <w:rsid w:val="00206EA4"/>
    <w:rsid w:val="00225FAB"/>
    <w:rsid w:val="00261DE0"/>
    <w:rsid w:val="002828DE"/>
    <w:rsid w:val="00285151"/>
    <w:rsid w:val="002851DC"/>
    <w:rsid w:val="00290F79"/>
    <w:rsid w:val="00295AAD"/>
    <w:rsid w:val="002A1534"/>
    <w:rsid w:val="00304159"/>
    <w:rsid w:val="003E61EB"/>
    <w:rsid w:val="00427B6A"/>
    <w:rsid w:val="004C6E88"/>
    <w:rsid w:val="00503F71"/>
    <w:rsid w:val="00526FEE"/>
    <w:rsid w:val="005B7924"/>
    <w:rsid w:val="005D0138"/>
    <w:rsid w:val="005D0AC8"/>
    <w:rsid w:val="006158BE"/>
    <w:rsid w:val="00671997"/>
    <w:rsid w:val="00705D85"/>
    <w:rsid w:val="008212EB"/>
    <w:rsid w:val="00831508"/>
    <w:rsid w:val="008955BE"/>
    <w:rsid w:val="008F12B2"/>
    <w:rsid w:val="0090024F"/>
    <w:rsid w:val="0091586B"/>
    <w:rsid w:val="00990FF3"/>
    <w:rsid w:val="009D43DA"/>
    <w:rsid w:val="009F6A56"/>
    <w:rsid w:val="00A022D2"/>
    <w:rsid w:val="00A3331B"/>
    <w:rsid w:val="00A60DC2"/>
    <w:rsid w:val="00A90958"/>
    <w:rsid w:val="00B56AFA"/>
    <w:rsid w:val="00BF1E8B"/>
    <w:rsid w:val="00C52672"/>
    <w:rsid w:val="00C84C2B"/>
    <w:rsid w:val="00CB0505"/>
    <w:rsid w:val="00CB6ACB"/>
    <w:rsid w:val="00D034BF"/>
    <w:rsid w:val="00D16AFF"/>
    <w:rsid w:val="00D869F3"/>
    <w:rsid w:val="00D87B6C"/>
    <w:rsid w:val="00E27150"/>
    <w:rsid w:val="00EE10D6"/>
    <w:rsid w:val="00F55FEE"/>
    <w:rsid w:val="00F61C23"/>
    <w:rsid w:val="00FB748F"/>
    <w:rsid w:val="00FC544D"/>
    <w:rsid w:val="162F4778"/>
    <w:rsid w:val="22615F73"/>
    <w:rsid w:val="27857D09"/>
    <w:rsid w:val="304C496C"/>
    <w:rsid w:val="37DE5EF2"/>
    <w:rsid w:val="6E9A46CC"/>
    <w:rsid w:val="7ED10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1"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1"/>
    <w:pPr>
      <w:keepNext/>
      <w:keepLines/>
      <w:adjustRightInd w:val="0"/>
      <w:snapToGrid w:val="0"/>
      <w:jc w:val="center"/>
      <w:outlineLvl w:val="0"/>
    </w:pPr>
    <w:rPr>
      <w:rFonts w:eastAsia="黑体"/>
      <w:b/>
      <w:bCs/>
      <w:kern w:val="44"/>
      <w:sz w:val="36"/>
      <w:szCs w:val="44"/>
    </w:rPr>
  </w:style>
  <w:style w:type="paragraph" w:styleId="3">
    <w:name w:val="heading 2"/>
    <w:basedOn w:val="1"/>
    <w:next w:val="1"/>
    <w:link w:val="17"/>
    <w:unhideWhenUsed/>
    <w:qFormat/>
    <w:uiPriority w:val="1"/>
    <w:pPr>
      <w:keepNext/>
      <w:keepLines/>
      <w:snapToGrid w:val="0"/>
      <w:jc w:val="center"/>
      <w:outlineLvl w:val="1"/>
    </w:pPr>
    <w:rPr>
      <w:rFonts w:eastAsia="黑体" w:asciiTheme="majorHAnsi" w:hAnsiTheme="majorHAnsi" w:cstheme="majorBidi"/>
      <w:b/>
      <w:bCs/>
      <w:sz w:val="32"/>
      <w:szCs w:val="32"/>
    </w:rPr>
  </w:style>
  <w:style w:type="paragraph" w:styleId="4">
    <w:name w:val="heading 3"/>
    <w:basedOn w:val="1"/>
    <w:next w:val="1"/>
    <w:link w:val="18"/>
    <w:unhideWhenUsed/>
    <w:qFormat/>
    <w:uiPriority w:val="1"/>
    <w:pPr>
      <w:keepNext/>
      <w:keepLines/>
      <w:snapToGrid w:val="0"/>
      <w:spacing w:before="260" w:after="260" w:line="416" w:lineRule="auto"/>
      <w:ind w:firstLine="200" w:firstLineChars="200"/>
      <w:jc w:val="center"/>
      <w:outlineLvl w:val="2"/>
    </w:pPr>
    <w:rPr>
      <w:rFonts w:eastAsia="黑体"/>
      <w:b/>
      <w:bCs/>
      <w:sz w:val="30"/>
      <w:szCs w:val="32"/>
    </w:rPr>
  </w:style>
  <w:style w:type="paragraph" w:styleId="5">
    <w:name w:val="heading 4"/>
    <w:basedOn w:val="1"/>
    <w:next w:val="1"/>
    <w:link w:val="19"/>
    <w:unhideWhenUsed/>
    <w:qFormat/>
    <w:uiPriority w:val="1"/>
    <w:pPr>
      <w:keepNext/>
      <w:keepLines/>
      <w:snapToGrid w:val="0"/>
      <w:spacing w:before="280" w:after="290" w:line="376" w:lineRule="auto"/>
      <w:ind w:firstLine="200" w:firstLineChars="200"/>
      <w:jc w:val="center"/>
      <w:outlineLvl w:val="3"/>
    </w:pPr>
    <w:rPr>
      <w:rFonts w:eastAsia="黑体" w:asciiTheme="majorHAnsi" w:hAnsiTheme="majorHAnsi" w:cstheme="majorBidi"/>
      <w:b/>
      <w:bCs/>
      <w:sz w:val="28"/>
      <w:szCs w:val="28"/>
    </w:rPr>
  </w:style>
  <w:style w:type="paragraph" w:styleId="6">
    <w:name w:val="heading 5"/>
    <w:basedOn w:val="1"/>
    <w:next w:val="1"/>
    <w:link w:val="20"/>
    <w:unhideWhenUsed/>
    <w:qFormat/>
    <w:uiPriority w:val="9"/>
    <w:pPr>
      <w:keepNext/>
      <w:keepLines/>
      <w:spacing w:before="280" w:after="290" w:line="376" w:lineRule="auto"/>
      <w:outlineLvl w:val="4"/>
    </w:pPr>
    <w:rPr>
      <w:rFonts w:eastAsia="黑体"/>
      <w:b/>
      <w:bCs/>
      <w:sz w:val="28"/>
      <w:szCs w:val="28"/>
    </w:rPr>
  </w:style>
  <w:style w:type="paragraph" w:styleId="7">
    <w:name w:val="heading 6"/>
    <w:basedOn w:val="1"/>
    <w:next w:val="1"/>
    <w:link w:val="2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8">
    <w:name w:val="Body Text"/>
    <w:basedOn w:val="1"/>
    <w:link w:val="35"/>
    <w:qFormat/>
    <w:uiPriority w:val="1"/>
    <w:pPr>
      <w:snapToGrid w:val="0"/>
      <w:ind w:firstLine="200" w:firstLineChars="200"/>
      <w:jc w:val="left"/>
    </w:pPr>
    <w:rPr>
      <w:rFonts w:ascii="宋体" w:hAnsi="宋体"/>
      <w:kern w:val="0"/>
      <w:sz w:val="24"/>
      <w:lang w:eastAsia="en-US"/>
    </w:rPr>
  </w:style>
  <w:style w:type="paragraph" w:styleId="9">
    <w:name w:val="Plain Text"/>
    <w:basedOn w:val="1"/>
    <w:link w:val="38"/>
    <w:qFormat/>
    <w:uiPriority w:val="0"/>
    <w:rPr>
      <w:rFonts w:ascii="宋体" w:hAnsi="Courier New" w:eastAsiaTheme="minorEastAsia" w:cstheme="minorBidi"/>
      <w:szCs w:val="21"/>
    </w:rPr>
  </w:style>
  <w:style w:type="paragraph" w:styleId="10">
    <w:name w:val="footer"/>
    <w:basedOn w:val="1"/>
    <w:link w:val="37"/>
    <w:unhideWhenUsed/>
    <w:qFormat/>
    <w:uiPriority w:val="99"/>
    <w:pPr>
      <w:tabs>
        <w:tab w:val="center" w:pos="4153"/>
        <w:tab w:val="right" w:pos="8306"/>
      </w:tabs>
      <w:snapToGrid w:val="0"/>
      <w:jc w:val="left"/>
    </w:pPr>
    <w:rPr>
      <w:sz w:val="18"/>
      <w:szCs w:val="18"/>
    </w:rPr>
  </w:style>
  <w:style w:type="paragraph" w:styleId="11">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4">
    <w:name w:val="正文（绿盟科技）"/>
    <w:link w:val="15"/>
    <w:qFormat/>
    <w:uiPriority w:val="0"/>
    <w:pPr>
      <w:spacing w:line="300" w:lineRule="auto"/>
      <w:jc w:val="both"/>
    </w:pPr>
    <w:rPr>
      <w:rFonts w:ascii="Arial" w:hAnsi="Arial" w:eastAsia="宋体" w:cs="Times New Roman"/>
      <w:sz w:val="21"/>
      <w:szCs w:val="21"/>
      <w:lang w:val="en-US" w:eastAsia="zh-CN" w:bidi="ar-SA"/>
    </w:rPr>
  </w:style>
  <w:style w:type="character" w:customStyle="1" w:styleId="15">
    <w:name w:val="正文（绿盟科技） Char"/>
    <w:link w:val="14"/>
    <w:qFormat/>
    <w:uiPriority w:val="0"/>
    <w:rPr>
      <w:rFonts w:ascii="Arial" w:hAnsi="Arial" w:eastAsia="宋体" w:cs="Times New Roman"/>
      <w:kern w:val="0"/>
      <w:szCs w:val="21"/>
    </w:rPr>
  </w:style>
  <w:style w:type="character" w:customStyle="1" w:styleId="16">
    <w:name w:val="标题 1 字符"/>
    <w:basedOn w:val="12"/>
    <w:link w:val="2"/>
    <w:qFormat/>
    <w:uiPriority w:val="1"/>
    <w:rPr>
      <w:rFonts w:ascii="Times New Roman" w:hAnsi="Times New Roman" w:eastAsia="黑体" w:cs="Times New Roman"/>
      <w:b/>
      <w:bCs/>
      <w:kern w:val="44"/>
      <w:sz w:val="36"/>
      <w:szCs w:val="44"/>
    </w:rPr>
  </w:style>
  <w:style w:type="character" w:customStyle="1" w:styleId="17">
    <w:name w:val="标题 2 字符"/>
    <w:basedOn w:val="12"/>
    <w:link w:val="3"/>
    <w:qFormat/>
    <w:uiPriority w:val="1"/>
    <w:rPr>
      <w:rFonts w:eastAsia="黑体" w:asciiTheme="majorHAnsi" w:hAnsiTheme="majorHAnsi" w:cstheme="majorBidi"/>
      <w:b/>
      <w:bCs/>
      <w:sz w:val="32"/>
      <w:szCs w:val="32"/>
    </w:rPr>
  </w:style>
  <w:style w:type="character" w:customStyle="1" w:styleId="18">
    <w:name w:val="标题 3 字符"/>
    <w:basedOn w:val="12"/>
    <w:link w:val="4"/>
    <w:qFormat/>
    <w:uiPriority w:val="1"/>
    <w:rPr>
      <w:rFonts w:eastAsia="黑体" w:cs="Times New Roman"/>
      <w:b/>
      <w:bCs/>
      <w:sz w:val="30"/>
      <w:szCs w:val="32"/>
    </w:rPr>
  </w:style>
  <w:style w:type="character" w:customStyle="1" w:styleId="19">
    <w:name w:val="标题 4 字符"/>
    <w:basedOn w:val="12"/>
    <w:link w:val="5"/>
    <w:qFormat/>
    <w:uiPriority w:val="1"/>
    <w:rPr>
      <w:rFonts w:eastAsia="黑体" w:asciiTheme="majorHAnsi" w:hAnsiTheme="majorHAnsi" w:cstheme="majorBidi"/>
      <w:b/>
      <w:bCs/>
      <w:sz w:val="28"/>
      <w:szCs w:val="28"/>
    </w:rPr>
  </w:style>
  <w:style w:type="character" w:customStyle="1" w:styleId="20">
    <w:name w:val="标题 5 字符"/>
    <w:basedOn w:val="12"/>
    <w:link w:val="6"/>
    <w:qFormat/>
    <w:uiPriority w:val="9"/>
    <w:rPr>
      <w:rFonts w:ascii="Times New Roman" w:hAnsi="Times New Roman" w:eastAsia="黑体" w:cs="Times New Roman"/>
      <w:b/>
      <w:bCs/>
      <w:sz w:val="28"/>
      <w:szCs w:val="28"/>
    </w:rPr>
  </w:style>
  <w:style w:type="character" w:customStyle="1" w:styleId="21">
    <w:name w:val="标题 6 字符"/>
    <w:basedOn w:val="12"/>
    <w:link w:val="7"/>
    <w:semiHidden/>
    <w:qFormat/>
    <w:uiPriority w:val="9"/>
    <w:rPr>
      <w:rFonts w:asciiTheme="majorHAnsi" w:hAnsiTheme="majorHAnsi" w:eastAsiaTheme="majorEastAsia" w:cstheme="majorBidi"/>
      <w:b/>
      <w:bCs/>
      <w:sz w:val="24"/>
      <w:szCs w:val="24"/>
    </w:rPr>
  </w:style>
  <w:style w:type="paragraph" w:styleId="22">
    <w:name w:val="List Paragraph"/>
    <w:basedOn w:val="1"/>
    <w:qFormat/>
    <w:uiPriority w:val="34"/>
    <w:pPr>
      <w:ind w:firstLine="420" w:firstLineChars="200"/>
    </w:pPr>
  </w:style>
  <w:style w:type="paragraph" w:customStyle="1" w:styleId="23">
    <w:name w:val="标书标题1"/>
    <w:basedOn w:val="1"/>
    <w:link w:val="24"/>
    <w:qFormat/>
    <w:uiPriority w:val="0"/>
    <w:pPr>
      <w:numPr>
        <w:ilvl w:val="0"/>
        <w:numId w:val="1"/>
      </w:numPr>
      <w:adjustRightInd w:val="0"/>
      <w:jc w:val="center"/>
      <w:outlineLvl w:val="0"/>
    </w:pPr>
    <w:rPr>
      <w:rFonts w:eastAsia="黑体"/>
      <w:b/>
      <w:snapToGrid w:val="0"/>
      <w:sz w:val="36"/>
    </w:rPr>
  </w:style>
  <w:style w:type="character" w:customStyle="1" w:styleId="24">
    <w:name w:val="标书标题1 Char"/>
    <w:basedOn w:val="12"/>
    <w:link w:val="23"/>
    <w:qFormat/>
    <w:uiPriority w:val="0"/>
    <w:rPr>
      <w:rFonts w:ascii="Times New Roman" w:hAnsi="Times New Roman" w:eastAsia="黑体" w:cs="Times New Roman"/>
      <w:b/>
      <w:snapToGrid w:val="0"/>
      <w:sz w:val="36"/>
      <w:szCs w:val="24"/>
    </w:rPr>
  </w:style>
  <w:style w:type="paragraph" w:customStyle="1" w:styleId="25">
    <w:name w:val="标书标题2"/>
    <w:basedOn w:val="22"/>
    <w:link w:val="26"/>
    <w:qFormat/>
    <w:uiPriority w:val="0"/>
    <w:pPr>
      <w:numPr>
        <w:ilvl w:val="1"/>
        <w:numId w:val="1"/>
      </w:numPr>
      <w:adjustRightInd w:val="0"/>
      <w:snapToGrid w:val="0"/>
      <w:ind w:firstLine="0" w:firstLineChars="0"/>
      <w:contextualSpacing/>
      <w:jc w:val="left"/>
      <w:outlineLvl w:val="1"/>
    </w:pPr>
    <w:rPr>
      <w:rFonts w:eastAsia="黑体"/>
      <w:b/>
      <w:sz w:val="36"/>
    </w:rPr>
  </w:style>
  <w:style w:type="character" w:customStyle="1" w:styleId="26">
    <w:name w:val="标书标题2 Char"/>
    <w:basedOn w:val="12"/>
    <w:link w:val="25"/>
    <w:qFormat/>
    <w:uiPriority w:val="0"/>
    <w:rPr>
      <w:rFonts w:ascii="Times New Roman" w:hAnsi="Times New Roman" w:eastAsia="黑体" w:cs="Times New Roman"/>
      <w:b/>
      <w:sz w:val="36"/>
      <w:szCs w:val="24"/>
    </w:rPr>
  </w:style>
  <w:style w:type="paragraph" w:customStyle="1" w:styleId="27">
    <w:name w:val="标书标题3"/>
    <w:basedOn w:val="22"/>
    <w:link w:val="28"/>
    <w:qFormat/>
    <w:uiPriority w:val="0"/>
    <w:pPr>
      <w:adjustRightInd w:val="0"/>
      <w:snapToGrid w:val="0"/>
      <w:ind w:firstLine="0" w:firstLineChars="0"/>
      <w:outlineLvl w:val="2"/>
    </w:pPr>
    <w:rPr>
      <w:rFonts w:eastAsia="黑体"/>
      <w:b/>
      <w:sz w:val="30"/>
    </w:rPr>
  </w:style>
  <w:style w:type="character" w:customStyle="1" w:styleId="28">
    <w:name w:val="标书标题3 Char"/>
    <w:basedOn w:val="12"/>
    <w:link w:val="27"/>
    <w:qFormat/>
    <w:uiPriority w:val="0"/>
    <w:rPr>
      <w:rFonts w:ascii="Times New Roman" w:hAnsi="Times New Roman" w:eastAsia="黑体" w:cs="Times New Roman"/>
      <w:b/>
      <w:sz w:val="30"/>
      <w:szCs w:val="24"/>
    </w:rPr>
  </w:style>
  <w:style w:type="paragraph" w:customStyle="1" w:styleId="29">
    <w:name w:val="标书标题4"/>
    <w:basedOn w:val="22"/>
    <w:link w:val="30"/>
    <w:qFormat/>
    <w:uiPriority w:val="0"/>
    <w:pPr>
      <w:numPr>
        <w:ilvl w:val="3"/>
        <w:numId w:val="1"/>
      </w:numPr>
      <w:adjustRightInd w:val="0"/>
      <w:snapToGrid w:val="0"/>
      <w:ind w:firstLine="0" w:firstLineChars="0"/>
      <w:outlineLvl w:val="3"/>
    </w:pPr>
    <w:rPr>
      <w:rFonts w:eastAsia="黑体"/>
      <w:b/>
      <w:sz w:val="28"/>
      <w:szCs w:val="30"/>
    </w:rPr>
  </w:style>
  <w:style w:type="character" w:customStyle="1" w:styleId="30">
    <w:name w:val="标书标题4 Char"/>
    <w:basedOn w:val="12"/>
    <w:link w:val="29"/>
    <w:qFormat/>
    <w:uiPriority w:val="0"/>
    <w:rPr>
      <w:rFonts w:ascii="Times New Roman" w:hAnsi="Times New Roman" w:eastAsia="黑体" w:cs="Times New Roman"/>
      <w:b/>
      <w:sz w:val="28"/>
      <w:szCs w:val="30"/>
    </w:rPr>
  </w:style>
  <w:style w:type="paragraph" w:customStyle="1" w:styleId="31">
    <w:name w:val="标书标题5"/>
    <w:basedOn w:val="22"/>
    <w:link w:val="32"/>
    <w:qFormat/>
    <w:uiPriority w:val="0"/>
    <w:pPr>
      <w:numPr>
        <w:ilvl w:val="4"/>
        <w:numId w:val="1"/>
      </w:numPr>
      <w:adjustRightInd w:val="0"/>
      <w:snapToGrid w:val="0"/>
      <w:ind w:firstLine="0" w:firstLineChars="0"/>
      <w:outlineLvl w:val="4"/>
    </w:pPr>
    <w:rPr>
      <w:rFonts w:ascii="Arial" w:hAnsi="Arial" w:eastAsia="黑体" w:cs="Arial"/>
      <w:b/>
      <w:sz w:val="24"/>
      <w:szCs w:val="28"/>
    </w:rPr>
  </w:style>
  <w:style w:type="character" w:customStyle="1" w:styleId="32">
    <w:name w:val="标书标题5 Char"/>
    <w:basedOn w:val="12"/>
    <w:link w:val="31"/>
    <w:qFormat/>
    <w:uiPriority w:val="0"/>
    <w:rPr>
      <w:rFonts w:ascii="Arial" w:hAnsi="Arial" w:eastAsia="黑体" w:cs="Arial"/>
      <w:b/>
      <w:sz w:val="24"/>
      <w:szCs w:val="28"/>
    </w:rPr>
  </w:style>
  <w:style w:type="paragraph" w:customStyle="1" w:styleId="33">
    <w:name w:val="标书标题6"/>
    <w:basedOn w:val="7"/>
    <w:link w:val="34"/>
    <w:qFormat/>
    <w:uiPriority w:val="0"/>
    <w:pPr>
      <w:adjustRightInd w:val="0"/>
      <w:snapToGrid w:val="0"/>
      <w:spacing w:before="0" w:after="0" w:line="360" w:lineRule="auto"/>
      <w:jc w:val="left"/>
    </w:pPr>
    <w:rPr>
      <w:rFonts w:ascii="Arial" w:hAnsi="Arial" w:eastAsia="黑体" w:cs="Arial"/>
    </w:rPr>
  </w:style>
  <w:style w:type="character" w:customStyle="1" w:styleId="34">
    <w:name w:val="标书标题6 字符"/>
    <w:basedOn w:val="12"/>
    <w:link w:val="33"/>
    <w:qFormat/>
    <w:uiPriority w:val="0"/>
    <w:rPr>
      <w:rFonts w:ascii="Arial" w:hAnsi="Arial" w:eastAsia="黑体" w:cs="Arial"/>
      <w:b/>
      <w:bCs/>
      <w:sz w:val="24"/>
      <w:szCs w:val="24"/>
    </w:rPr>
  </w:style>
  <w:style w:type="character" w:customStyle="1" w:styleId="35">
    <w:name w:val="正文文本 字符"/>
    <w:basedOn w:val="12"/>
    <w:link w:val="8"/>
    <w:qFormat/>
    <w:uiPriority w:val="1"/>
    <w:rPr>
      <w:rFonts w:ascii="宋体" w:hAnsi="宋体" w:eastAsia="宋体"/>
      <w:kern w:val="0"/>
      <w:sz w:val="24"/>
      <w:szCs w:val="24"/>
      <w:lang w:eastAsia="en-US"/>
    </w:rPr>
  </w:style>
  <w:style w:type="character" w:customStyle="1" w:styleId="36">
    <w:name w:val="页眉 字符"/>
    <w:basedOn w:val="12"/>
    <w:link w:val="11"/>
    <w:qFormat/>
    <w:uiPriority w:val="99"/>
    <w:rPr>
      <w:sz w:val="18"/>
      <w:szCs w:val="18"/>
    </w:rPr>
  </w:style>
  <w:style w:type="character" w:customStyle="1" w:styleId="37">
    <w:name w:val="页脚 字符"/>
    <w:basedOn w:val="12"/>
    <w:link w:val="10"/>
    <w:qFormat/>
    <w:uiPriority w:val="99"/>
    <w:rPr>
      <w:sz w:val="18"/>
      <w:szCs w:val="18"/>
    </w:rPr>
  </w:style>
  <w:style w:type="character" w:customStyle="1" w:styleId="38">
    <w:name w:val="纯文本 字符"/>
    <w:link w:val="9"/>
    <w:qFormat/>
    <w:uiPriority w:val="0"/>
    <w:rPr>
      <w:rFonts w:ascii="宋体" w:hAnsi="Courier New"/>
    </w:rPr>
  </w:style>
  <w:style w:type="character" w:customStyle="1" w:styleId="39">
    <w:name w:val="纯文本 Char1"/>
    <w:basedOn w:val="12"/>
    <w:semiHidden/>
    <w:qFormat/>
    <w:uiPriority w:val="99"/>
    <w:rPr>
      <w:rFonts w:ascii="宋体" w:hAnsi="Courier New" w:eastAsia="宋体"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1083</Words>
  <Characters>1157</Characters>
  <Lines>8</Lines>
  <Paragraphs>2</Paragraphs>
  <TotalTime>1</TotalTime>
  <ScaleCrop>false</ScaleCrop>
  <LinksUpToDate>false</LinksUpToDate>
  <CharactersWithSpaces>1160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2021-04-19T01:58:00Z</dcterms:created>
  <dc:creator>Win7</dc:creator>
  <cp:lastModifiedBy>郭玮</cp:lastModifiedBy>
  <cp:lastPrinted>2021-04-19T02:42:00Z</cp:lastPrinted>
  <dcterms:modified xsi:type="dcterms:W3CDTF">2022-09-21T01:01:46Z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2A4FC54896FC40EEBE8DC337DEDCECBA</vt:lpwstr>
  </property>
</Properties>
</file>