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20"/>
        </w:rPr>
      </w:pPr>
      <w:r>
        <w:rPr>
          <w:rFonts w:hint="eastAsia" w:ascii="宋体" w:hAnsi="宋体" w:eastAsia="宋体" w:cs="Times New Roman"/>
          <w:b/>
          <w:sz w:val="36"/>
          <w:szCs w:val="20"/>
        </w:rPr>
        <w:t>河北博物院图书采购项目（2022年第三批）比选评分标准</w:t>
      </w:r>
    </w:p>
    <w:tbl>
      <w:tblPr>
        <w:tblStyle w:val="3"/>
        <w:tblW w:w="1029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8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  <w:t>详细内容及评分规则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(40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价格分采用低价优先法计算，即通过资格性和符合性审查且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价格最低的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报价为评标基准价，其价格得分为满分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人的价格分统一按照下列公式计算：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报价得分=(评标基准价／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报价)×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注：价格分计算保留小数点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后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商务部分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分）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1.按照采购人要求提供企业法人营业执照、税务登记证、组织机构代码证（或三证合一）、《出版物经营许可证》盖章复印件者得满分10分，不全者得0分；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投标人每提供1份201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月（含）以来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图书馆、博物馆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机构图书供货项目合同得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分，满分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注：类似项目提供合同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内容须包含合同首页、合同签订时间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双方签字盖章页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，响应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文件中附复印件。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/>
                <w:sz w:val="28"/>
                <w:szCs w:val="28"/>
              </w:rPr>
              <w:t>提供的图书（含图书配带音像制品）等应为正版合法的出版物。图书印制质量标准：图书的印刷质量参照GB9851、GB/T18359、印刷行业CY/T4-29等国家和印刷行业标准有关规定执行。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能作出上述承诺者得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10分，否则得0分。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按照采购人发布的需求目录报价率达100%得20分，每少一种扣减4分，超过5种得0分。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Times New Roman"/>
          <w:b/>
          <w:color w:val="auto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FF99E"/>
    <w:multiLevelType w:val="singleLevel"/>
    <w:tmpl w:val="886FF9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Dg3ZTcyNmQ4YWVhZjc1N2RiM2UzMmU5OWNhYzQifQ=="/>
  </w:docVars>
  <w:rsids>
    <w:rsidRoot w:val="00000000"/>
    <w:rsid w:val="1FE7295C"/>
    <w:rsid w:val="2F2E283E"/>
    <w:rsid w:val="2F482687"/>
    <w:rsid w:val="32D0158D"/>
    <w:rsid w:val="377A02ED"/>
    <w:rsid w:val="399F696E"/>
    <w:rsid w:val="42A423E6"/>
    <w:rsid w:val="65E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507</Characters>
  <Lines>0</Lines>
  <Paragraphs>0</Paragraphs>
  <TotalTime>29</TotalTime>
  <ScaleCrop>false</ScaleCrop>
  <LinksUpToDate>false</LinksUpToDate>
  <CharactersWithSpaces>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2022-07-29T06:06:00Z</dcterms:created>
  <dc:creator>Administrator</dc:creator>
  <cp:lastModifiedBy>逸舟</cp:lastModifiedBy>
  <dcterms:modified xsi:type="dcterms:W3CDTF">2022-09-23T12:27:49Z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1E7849B35EFD4076900978F1A367D710</vt:lpwstr>
  </property>
</Properties>
</file>