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河北博物院</w:t>
      </w:r>
      <w:r>
        <w:rPr>
          <w:rFonts w:hint="eastAsia"/>
          <w:b/>
          <w:bCs/>
          <w:kern w:val="2"/>
          <w:sz w:val="32"/>
          <w:szCs w:val="32"/>
          <w:lang w:eastAsia="zh-CN"/>
        </w:rPr>
        <w:t>低反玻璃展柜</w:t>
      </w:r>
      <w:bookmarkStart w:id="0" w:name="_GoBack"/>
      <w:bookmarkEnd w:id="0"/>
      <w:r>
        <w:rPr>
          <w:rFonts w:hint="eastAsia"/>
          <w:b/>
          <w:bCs/>
          <w:kern w:val="2"/>
          <w:sz w:val="32"/>
          <w:szCs w:val="32"/>
          <w:lang w:eastAsia="zh-CN"/>
        </w:rPr>
        <w:t>清洁</w:t>
      </w: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项目评审标准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9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86"/>
        <w:gridCol w:w="1125"/>
        <w:gridCol w:w="5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241" w:firstLineChars="100"/>
              <w:jc w:val="both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color w:val="FF0000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zCs w:val="24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供应商需提交近三年内，具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有展柜清洁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施工的案例，须提交相应合同。每提交1个省级及以上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单位展柜清洁施工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案例，得2.5分；每提交1个市级及以下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单位展柜清洁施工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案例，得1分；其他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清洁施工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案例，得0.5分。此项最高得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pStyle w:val="6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 xml:space="preserve"> 技术部分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</w:t>
            </w:r>
            <w:r>
              <w:rPr>
                <w:rFonts w:hint="eastAsia" w:ascii="宋体" w:hAnsi="宋体"/>
                <w:b/>
                <w:color w:val="FF0000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0分）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根据供应商提供的项目实施方案进行评价：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第一档，能依照项目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，方案中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施工进度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合理明确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项目各项内容安排得当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；制定的质量和安全管理措施切实可行。得：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第二档，能依照项目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，方案中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施工进度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相对合理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项目各项内容安排基本得当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；制定的质量和安全管理措施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可行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。10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第三档，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不能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依照项目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，无法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提供明确的施工进度，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没有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可行的质量和安全管理措施。得：0-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根据供应商提供的项目实施团队的组织结构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和设备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第一档，团队配置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合理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，人员配备充足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设备配置合理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。得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 第二档，团队配置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结构相对合理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人员配备基本满足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设备配置相对合理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。得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9.5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第三档，团队配置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结构不合理，人员配备不合理，设备配备不足。得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7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E63109"/>
    <w:rsid w:val="06DE0669"/>
    <w:rsid w:val="0A5F19D4"/>
    <w:rsid w:val="10AE1D18"/>
    <w:rsid w:val="119A3822"/>
    <w:rsid w:val="1291261C"/>
    <w:rsid w:val="198B3FF6"/>
    <w:rsid w:val="1CF84072"/>
    <w:rsid w:val="20DE1FCF"/>
    <w:rsid w:val="21A861E3"/>
    <w:rsid w:val="23D575A0"/>
    <w:rsid w:val="24A866B2"/>
    <w:rsid w:val="24C23BFE"/>
    <w:rsid w:val="2C30548C"/>
    <w:rsid w:val="2F6F1EAC"/>
    <w:rsid w:val="328A5B17"/>
    <w:rsid w:val="36BB7CA8"/>
    <w:rsid w:val="37CD2516"/>
    <w:rsid w:val="3FB369F4"/>
    <w:rsid w:val="406F27E0"/>
    <w:rsid w:val="41164838"/>
    <w:rsid w:val="41826444"/>
    <w:rsid w:val="44E26E32"/>
    <w:rsid w:val="47DD26AD"/>
    <w:rsid w:val="4B2F4F57"/>
    <w:rsid w:val="4CD04143"/>
    <w:rsid w:val="4D84170A"/>
    <w:rsid w:val="52643FA2"/>
    <w:rsid w:val="53047E9B"/>
    <w:rsid w:val="55FA0951"/>
    <w:rsid w:val="57682D9F"/>
    <w:rsid w:val="5D7B3EF1"/>
    <w:rsid w:val="5DE53A3A"/>
    <w:rsid w:val="5E454415"/>
    <w:rsid w:val="5F1C38A9"/>
    <w:rsid w:val="605568E5"/>
    <w:rsid w:val="6258550E"/>
    <w:rsid w:val="65BE1992"/>
    <w:rsid w:val="69D83714"/>
    <w:rsid w:val="6F7A1313"/>
    <w:rsid w:val="72D20803"/>
    <w:rsid w:val="74D33AD9"/>
    <w:rsid w:val="7B325231"/>
    <w:rsid w:val="7C6C7EA1"/>
    <w:rsid w:val="7F027322"/>
    <w:rsid w:val="7F2F3E8F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6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Administrator</cp:lastModifiedBy>
  <cp:lastPrinted>2021-10-11T08:25:00Z</cp:lastPrinted>
  <dcterms:modified xsi:type="dcterms:W3CDTF">2023-01-06T03:01:58Z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AD7774580A1A485EBBAE2884D5F38650</vt:lpwstr>
  </property>
</Properties>
</file>