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河北博物院展厅</w:t>
      </w:r>
      <w:r>
        <w:rPr>
          <w:rFonts w:hint="eastAsia" w:cs="宋体"/>
          <w:b/>
          <w:color w:val="000000"/>
          <w:sz w:val="36"/>
          <w:szCs w:val="36"/>
          <w:lang w:eastAsia="zh-CN"/>
        </w:rPr>
        <w:t>文物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撤展及</w:t>
      </w:r>
      <w:r>
        <w:rPr>
          <w:rFonts w:hint="eastAsia" w:cs="宋体"/>
          <w:b/>
          <w:color w:val="000000"/>
          <w:sz w:val="36"/>
          <w:szCs w:val="36"/>
          <w:lang w:eastAsia="zh-CN"/>
        </w:rPr>
        <w:t>复原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评审标准</w:t>
      </w:r>
    </w:p>
    <w:tbl>
      <w:tblPr>
        <w:tblStyle w:val="10"/>
        <w:tblW w:w="915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75"/>
        <w:gridCol w:w="1112"/>
        <w:gridCol w:w="5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4"/>
              </w:rPr>
              <w:t>类别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4"/>
              </w:rPr>
              <w:t>评审项目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4"/>
              </w:rPr>
              <w:t>标准分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（共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报价分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20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投标人报价得分＝（有效最低投标报价／该投标人报价）×20（保留1位小数点，第2位四舍五入，下同）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商务</w:t>
            </w: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部分</w:t>
            </w: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（共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40分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）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商务要求响应情况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30</w:t>
            </w:r>
          </w:p>
        </w:tc>
        <w:tc>
          <w:tcPr>
            <w:tcW w:w="5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第一档，响应全面，描述完备、细致，完全满足且部分优于采购需求的，得20-30分；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第二档，响应较全面、细致，满足采购需求的，得10-19.5分；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第三档，基本响应采购需求，但有缺陷或部分一般指标不满足需求的，得0-9.5分。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同类业绩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10</w:t>
            </w:r>
          </w:p>
        </w:tc>
        <w:tc>
          <w:tcPr>
            <w:tcW w:w="5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需提供近三年内同类业绩的文物运输案例，提交相应合同，每提交一个加 2分，本项最高得10分。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技术部分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（共40分）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highlight w:val="none"/>
                <w:lang w:val="en-US" w:eastAsia="zh-CN"/>
              </w:rPr>
              <w:t>服务及安保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30</w:t>
            </w:r>
          </w:p>
        </w:tc>
        <w:tc>
          <w:tcPr>
            <w:tcW w:w="5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仿宋" w:hAnsi="仿宋" w:eastAsia="仿宋" w:cs="仿宋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第一档，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仿宋" w:hAnsi="仿宋" w:eastAsia="仿宋" w:cs="仿宋"/>
                <w:szCs w:val="24"/>
              </w:rPr>
              <w:t>，得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第二档，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仿宋" w:hAnsi="仿宋" w:eastAsia="仿宋" w:cs="仿宋"/>
                <w:szCs w:val="24"/>
              </w:rPr>
              <w:t>，得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19.5</w:t>
            </w:r>
            <w:r>
              <w:rPr>
                <w:rFonts w:hint="eastAsia" w:ascii="仿宋" w:hAnsi="仿宋" w:eastAsia="仿宋" w:cs="仿宋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第三档，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仿宋" w:hAnsi="仿宋" w:eastAsia="仿宋" w:cs="仿宋"/>
                <w:szCs w:val="24"/>
              </w:rPr>
              <w:t>，得0-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9.5</w:t>
            </w:r>
            <w:r>
              <w:rPr>
                <w:rFonts w:hint="eastAsia" w:ascii="仿宋" w:hAnsi="仿宋" w:eastAsia="仿宋" w:cs="仿宋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1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项目实施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  <w:lang w:val="en-US" w:eastAsia="zh-CN"/>
              </w:rPr>
              <w:t>10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根据</w:t>
            </w:r>
            <w:r>
              <w:rPr>
                <w:rFonts w:hint="eastAsia" w:ascii="仿宋" w:hAnsi="仿宋" w:eastAsia="仿宋" w:cs="仿宋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第一档，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团队配置</w:t>
            </w:r>
            <w:r>
              <w:rPr>
                <w:rFonts w:hint="eastAsia" w:ascii="仿宋" w:hAnsi="仿宋" w:eastAsia="仿宋" w:cs="仿宋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7-10分；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2"/>
              </w:rPr>
              <w:t>第二档，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团队配置较</w:t>
            </w:r>
            <w:r>
              <w:rPr>
                <w:rFonts w:hint="eastAsia" w:ascii="仿宋" w:hAnsi="仿宋" w:eastAsia="仿宋" w:cs="仿宋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仿宋" w:hAnsi="仿宋" w:eastAsia="仿宋" w:cs="仿宋"/>
                <w:szCs w:val="22"/>
              </w:rPr>
              <w:t>，</w:t>
            </w:r>
            <w:r>
              <w:rPr>
                <w:rFonts w:hint="eastAsia" w:ascii="仿宋" w:hAnsi="仿宋" w:eastAsia="仿宋" w:cs="仿宋"/>
                <w:szCs w:val="22"/>
                <w:lang w:eastAsia="zh-CN"/>
              </w:rPr>
              <w:t>基本符合项目特点，</w:t>
            </w:r>
            <w:r>
              <w:rPr>
                <w:rFonts w:hint="eastAsia" w:ascii="仿宋" w:hAnsi="仿宋" w:eastAsia="仿宋" w:cs="仿宋"/>
                <w:szCs w:val="22"/>
              </w:rPr>
              <w:t>得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6.5</w:t>
            </w:r>
            <w:r>
              <w:rPr>
                <w:rFonts w:hint="eastAsia" w:ascii="仿宋" w:hAnsi="仿宋" w:eastAsia="仿宋" w:cs="仿宋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第三档，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团队配置</w:t>
            </w:r>
            <w:r>
              <w:rPr>
                <w:rFonts w:hint="eastAsia" w:ascii="仿宋" w:hAnsi="仿宋" w:eastAsia="仿宋" w:cs="仿宋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仿宋" w:hAnsi="仿宋" w:eastAsia="仿宋" w:cs="仿宋"/>
                <w:szCs w:val="22"/>
              </w:rPr>
              <w:t>，得0-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合计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100分</w:t>
            </w:r>
          </w:p>
        </w:tc>
        <w:tc>
          <w:tcPr>
            <w:tcW w:w="5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B3A30"/>
    <w:multiLevelType w:val="multilevel"/>
    <w:tmpl w:val="24CB3A30"/>
    <w:lvl w:ilvl="0" w:tentative="0">
      <w:start w:val="1"/>
      <w:numFmt w:val="chineseCountingThousand"/>
      <w:pStyle w:val="5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74"/>
    <w:rsid w:val="000B5625"/>
    <w:rsid w:val="0019606A"/>
    <w:rsid w:val="00450C74"/>
    <w:rsid w:val="005B7950"/>
    <w:rsid w:val="00DA4A7A"/>
    <w:rsid w:val="00E6155D"/>
    <w:rsid w:val="054B1B29"/>
    <w:rsid w:val="37FFCD7A"/>
    <w:rsid w:val="438A4656"/>
    <w:rsid w:val="53FFDA38"/>
    <w:rsid w:val="97CA4095"/>
    <w:rsid w:val="9D2675E7"/>
    <w:rsid w:val="B7DF8D55"/>
    <w:rsid w:val="BFDF8D23"/>
    <w:rsid w:val="F6F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宋体" w:hAnsi="宋体" w:eastAsia="宋体" w:cs="方正仿宋_GBK"/>
      <w:kern w:val="2"/>
      <w:sz w:val="24"/>
      <w:szCs w:val="24"/>
      <w:lang w:val="en-US" w:eastAsia="zh-CN" w:bidi="ar-SA"/>
    </w:rPr>
  </w:style>
  <w:style w:type="paragraph" w:styleId="5">
    <w:name w:val="heading 2"/>
    <w:basedOn w:val="6"/>
    <w:next w:val="1"/>
    <w:link w:val="15"/>
    <w:unhideWhenUsed/>
    <w:qFormat/>
    <w:uiPriority w:val="9"/>
    <w:pPr>
      <w:numPr>
        <w:ilvl w:val="0"/>
        <w:numId w:val="1"/>
      </w:numPr>
      <w:ind w:firstLine="0" w:firstLineChars="0"/>
      <w:outlineLvl w:val="1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ind w:right="47" w:rightChars="47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jc w:val="center"/>
    </w:pPr>
    <w:rPr>
      <w:bCs/>
    </w:rPr>
  </w:style>
  <w:style w:type="paragraph" w:customStyle="1" w:styleId="13">
    <w:name w:val="表格标题"/>
    <w:basedOn w:val="1"/>
    <w:qFormat/>
    <w:uiPriority w:val="0"/>
    <w:pPr>
      <w:spacing w:line="276" w:lineRule="auto"/>
      <w:jc w:val="center"/>
    </w:pPr>
    <w:rPr>
      <w:b/>
      <w:bCs/>
    </w:rPr>
  </w:style>
  <w:style w:type="paragraph" w:customStyle="1" w:styleId="14">
    <w:name w:val="正文首行进2"/>
    <w:basedOn w:val="1"/>
    <w:qFormat/>
    <w:uiPriority w:val="0"/>
    <w:pPr>
      <w:spacing w:line="360" w:lineRule="auto"/>
      <w:ind w:firstLine="480" w:firstLineChars="200"/>
    </w:pPr>
  </w:style>
  <w:style w:type="character" w:customStyle="1" w:styleId="15">
    <w:name w:val="标题 2 字符"/>
    <w:basedOn w:val="11"/>
    <w:link w:val="5"/>
    <w:qFormat/>
    <w:uiPriority w:val="9"/>
    <w:rPr>
      <w:rFonts w:ascii="宋体" w:hAnsi="宋体" w:eastAsia="宋体" w:cs="方正仿宋_GBK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610</Characters>
  <Lines>5</Lines>
  <Paragraphs>1</Paragraphs>
  <TotalTime>4</TotalTime>
  <ScaleCrop>false</ScaleCrop>
  <LinksUpToDate>false</LinksUpToDate>
  <CharactersWithSpaces>715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2022-10-31T22:40:00Z</dcterms:created>
  <dc:creator>i_c_chung@163.com</dc:creator>
  <cp:lastModifiedBy>uos</cp:lastModifiedBy>
  <dcterms:modified xsi:type="dcterms:W3CDTF">2023-01-29T14:46:59Z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