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6"/>
          <w:szCs w:val="36"/>
          <w:lang w:eastAsia="zh-CN"/>
        </w:rPr>
      </w:pPr>
      <w:r>
        <w:rPr>
          <w:rFonts w:hint="eastAsia" w:eastAsia="宋体"/>
          <w:b/>
          <w:bCs/>
          <w:kern w:val="2"/>
          <w:sz w:val="36"/>
          <w:szCs w:val="36"/>
          <w:lang w:eastAsia="zh-CN"/>
        </w:rPr>
        <w:t>河北博物院官方网站整合、迁移及运维服务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6"/>
          <w:szCs w:val="36"/>
          <w:lang w:eastAsia="zh-CN"/>
        </w:rPr>
      </w:pPr>
      <w:r>
        <w:rPr>
          <w:rFonts w:hint="eastAsia" w:eastAsia="宋体"/>
          <w:b/>
          <w:bCs/>
          <w:kern w:val="2"/>
          <w:sz w:val="36"/>
          <w:szCs w:val="36"/>
          <w:lang w:val="en-US" w:eastAsia="zh-CN"/>
        </w:rPr>
        <w:t>项目</w:t>
      </w:r>
      <w:r>
        <w:rPr>
          <w:rFonts w:hint="eastAsia" w:eastAsia="宋体"/>
          <w:b/>
          <w:bCs/>
          <w:kern w:val="2"/>
          <w:sz w:val="36"/>
          <w:szCs w:val="36"/>
          <w:lang w:eastAsia="zh-CN"/>
        </w:rPr>
        <w:t>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分</w:t>
      </w:r>
      <w:r>
        <w:rPr>
          <w:rFonts w:hint="eastAsia" w:eastAsia="宋体"/>
          <w:b/>
          <w:bCs/>
          <w:kern w:val="2"/>
          <w:sz w:val="36"/>
          <w:szCs w:val="36"/>
          <w:lang w:eastAsia="zh-CN"/>
        </w:rPr>
        <w:t>标准</w:t>
      </w:r>
    </w:p>
    <w:tbl>
      <w:tblPr>
        <w:tblStyle w:val="6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4"/>
        <w:gridCol w:w="968"/>
        <w:gridCol w:w="6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类别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评审项目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  <w:szCs w:val="24"/>
              </w:rPr>
              <w:t>标准分</w:t>
            </w:r>
          </w:p>
        </w:tc>
        <w:tc>
          <w:tcPr>
            <w:tcW w:w="603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（共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0分）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报价分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20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投标人报价得分＝（有效最低投标报价／该投标人报价）×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技术部分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分）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技术方案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bCs/>
                <w:sz w:val="24"/>
                <w:szCs w:val="24"/>
              </w:rPr>
              <w:t>0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技术方案的先进和技术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优劣进行评价：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第一档，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先进，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网站整合、迁移、以及运维方案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，完全达到或优于标书要求，得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第二档，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技术方案基本合理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，功能齐全，基本满足标书要求，得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第三档，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较差或一般，明显低于其他档次产品，得0-9分。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售后服务承诺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按照投标人针对本项目的具体售后服务方案、对本项目自主承诺处理方案优劣进行比较评价：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第一档，满足或优于招标文件要求的售后支持服务，且优惠承诺较好的得8～10分；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第二档，基本满足招标文件要求但稍有不足的服务4～7分；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第三档，与招标文件要求的支持服务存在较大偏差0～3分。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00" w:lineRule="exact"/>
              <w:ind w:firstLine="240" w:firstLineChars="10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商务部分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0分）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实施团队配置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根据供应商的服务实施团队配置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人员分配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优劣进行综合比较评价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组织管理机构完善、合理，团队人员构成专业性强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团队配置优秀，完全满足采购人需求，得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组织管理机构合理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团队配置基本满足采购需求的，得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组织管理机构基本合理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，不完备，团队配置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专业性欠佳，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不能满足采购人需求，得0-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企业实力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35" w:type="dxa"/>
            <w:vAlign w:val="center"/>
          </w:tcPr>
          <w:p>
            <w:pPr>
              <w:pStyle w:val="2"/>
              <w:spacing w:line="500" w:lineRule="exact"/>
              <w:ind w:left="0" w:leftChars="0" w:firstLine="56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投标人提供展示企业实力的相关证书（如：高新技术企业证书、科技型企业证书，有一个证书即得十分）。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同类业绩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35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每具备 1 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计算机软件开发项目或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相关类似业绩加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分，本项最高得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分。需提供相关合同，未提供不得分。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9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合计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分档打分的，同档次打分最小分值差为0.5分。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jk3NzFjNDQwNzg1NjM0ZjYxNDZkZTQwOGUwZGEifQ=="/>
  </w:docVars>
  <w:rsids>
    <w:rsidRoot w:val="73182E4A"/>
    <w:rsid w:val="1A4B5AFE"/>
    <w:rsid w:val="3B8C2D05"/>
    <w:rsid w:val="43AF2D8A"/>
    <w:rsid w:val="472A4CA4"/>
    <w:rsid w:val="47FC55A6"/>
    <w:rsid w:val="69E91773"/>
    <w:rsid w:val="6FC62456"/>
    <w:rsid w:val="73182E4A"/>
    <w:rsid w:val="7F83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860</Characters>
  <Lines>0</Lines>
  <Paragraphs>0</Paragraphs>
  <TotalTime>75</TotalTime>
  <ScaleCrop>false</ScaleCrop>
  <LinksUpToDate>false</LinksUpToDate>
  <CharactersWithSpaces>875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2023-04-13T09:26:00Z</dcterms:created>
  <dc:creator>Dr.cong</dc:creator>
  <cp:lastModifiedBy>郭玮</cp:lastModifiedBy>
  <cp:lastPrinted>2023-04-24T01:06:21Z</cp:lastPrinted>
  <dcterms:modified xsi:type="dcterms:W3CDTF">2023-04-24T01:35:51Z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C9BA0945E1A744D3AA16BBC87CC3A6F8</vt:lpwstr>
  </property>
</Properties>
</file>