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-17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-17"/>
          <w:sz w:val="32"/>
          <w:szCs w:val="32"/>
        </w:rPr>
        <w:t>河北博物院“主题活动展演及推广”项目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-17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17"/>
          <w:sz w:val="32"/>
          <w:szCs w:val="32"/>
        </w:rPr>
        <w:t>评审标准</w:t>
      </w:r>
    </w:p>
    <w:tbl>
      <w:tblPr>
        <w:tblStyle w:val="10"/>
        <w:tblW w:w="92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429"/>
        <w:gridCol w:w="953"/>
        <w:gridCol w:w="5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tblHeader/>
          <w:jc w:val="center"/>
        </w:trPr>
        <w:tc>
          <w:tcPr>
            <w:tcW w:w="14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类别</w:t>
            </w: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评审项目</w:t>
            </w:r>
          </w:p>
        </w:tc>
        <w:tc>
          <w:tcPr>
            <w:tcW w:w="95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pacing w:val="-8"/>
                <w:szCs w:val="24"/>
              </w:rPr>
            </w:pPr>
            <w:r>
              <w:rPr>
                <w:rFonts w:hint="eastAsia" w:ascii="宋体" w:hAnsi="宋体"/>
                <w:b/>
                <w:spacing w:val="-8"/>
                <w:szCs w:val="24"/>
              </w:rPr>
              <w:t>标准分</w:t>
            </w:r>
          </w:p>
        </w:tc>
        <w:tc>
          <w:tcPr>
            <w:tcW w:w="54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 w:eastAsia="宋体"/>
                <w:b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Cs w:val="24"/>
              </w:rPr>
              <w:t>报价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 w:eastAsia="宋体"/>
                <w:b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Cs w:val="24"/>
                <w:lang w:eastAsia="zh-CN"/>
              </w:rPr>
              <w:t>（共</w:t>
            </w: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20分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）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报价分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default" w:ascii="宋体" w:hAnsi="宋体" w:eastAsia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20</w:t>
            </w:r>
          </w:p>
        </w:tc>
        <w:tc>
          <w:tcPr>
            <w:tcW w:w="5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</w:rPr>
              <w:t>投标人报价得分＝（有效最低投标报价／该投标人报价）×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20（保留1位小数点，第2位四舍五入，下同）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4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 w:eastAsia="宋体"/>
                <w:b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商务</w:t>
            </w:r>
            <w:r>
              <w:rPr>
                <w:rFonts w:hint="eastAsia" w:ascii="宋体" w:hAnsi="宋体"/>
                <w:b/>
                <w:szCs w:val="24"/>
              </w:rPr>
              <w:t>部分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  <w:lang w:eastAsia="zh-CN"/>
              </w:rPr>
              <w:t>（共</w:t>
            </w: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25分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）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商务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要求</w:t>
            </w:r>
            <w:r>
              <w:rPr>
                <w:rFonts w:hint="eastAsia" w:ascii="宋体" w:hAnsi="宋体"/>
                <w:b/>
                <w:szCs w:val="24"/>
              </w:rPr>
              <w:t>响应情况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5</w:t>
            </w:r>
          </w:p>
        </w:tc>
        <w:tc>
          <w:tcPr>
            <w:tcW w:w="5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不能实质性满足重要商务要求的</w:t>
            </w:r>
            <w:r>
              <w:rPr>
                <w:rFonts w:hint="eastAsia" w:ascii="宋体" w:hAnsi="宋体"/>
                <w:szCs w:val="24"/>
                <w:lang w:eastAsia="zh-CN"/>
              </w:rPr>
              <w:t>为</w:t>
            </w:r>
            <w:r>
              <w:rPr>
                <w:rFonts w:hint="eastAsia" w:ascii="宋体" w:hAnsi="宋体"/>
                <w:szCs w:val="24"/>
              </w:rPr>
              <w:t>无效</w:t>
            </w:r>
            <w:r>
              <w:rPr>
                <w:rFonts w:hint="eastAsia" w:ascii="宋体" w:hAnsi="宋体"/>
                <w:szCs w:val="24"/>
                <w:lang w:eastAsia="zh-CN"/>
              </w:rPr>
              <w:t>响应</w:t>
            </w:r>
            <w:r>
              <w:rPr>
                <w:rFonts w:hint="eastAsia" w:ascii="宋体" w:hAnsi="宋体"/>
                <w:szCs w:val="24"/>
              </w:rPr>
              <w:t>。在满足重要商务</w:t>
            </w:r>
            <w:r>
              <w:rPr>
                <w:rFonts w:hint="eastAsia" w:ascii="宋体" w:hAnsi="宋体"/>
                <w:szCs w:val="24"/>
                <w:lang w:eastAsia="zh-CN"/>
              </w:rPr>
              <w:t>要求</w:t>
            </w:r>
            <w:r>
              <w:rPr>
                <w:rFonts w:hint="eastAsia" w:ascii="宋体" w:hAnsi="宋体"/>
                <w:szCs w:val="24"/>
              </w:rPr>
              <w:t>的基础上，对</w:t>
            </w:r>
            <w:r>
              <w:rPr>
                <w:rFonts w:hint="eastAsia" w:ascii="宋体" w:hAnsi="宋体"/>
                <w:szCs w:val="24"/>
                <w:lang w:eastAsia="zh-CN"/>
              </w:rPr>
              <w:t>供应商的</w:t>
            </w:r>
            <w:r>
              <w:rPr>
                <w:rFonts w:hint="eastAsia" w:ascii="宋体" w:hAnsi="宋体"/>
                <w:szCs w:val="24"/>
              </w:rPr>
              <w:t>商务</w:t>
            </w:r>
            <w:r>
              <w:rPr>
                <w:rFonts w:hint="eastAsia" w:ascii="宋体" w:hAnsi="宋体"/>
                <w:szCs w:val="24"/>
                <w:lang w:eastAsia="zh-CN"/>
              </w:rPr>
              <w:t>要求</w:t>
            </w:r>
            <w:r>
              <w:rPr>
                <w:rFonts w:hint="eastAsia" w:ascii="宋体" w:hAnsi="宋体"/>
                <w:szCs w:val="24"/>
              </w:rPr>
              <w:t>响应程度进行综合比较评价：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第一档，响应全面，描述完备、细致，完全满足且部分优于采购需求</w:t>
            </w:r>
            <w:r>
              <w:rPr>
                <w:rFonts w:hint="eastAsia" w:ascii="宋体" w:hAnsi="宋体"/>
                <w:szCs w:val="24"/>
                <w:lang w:eastAsia="zh-CN"/>
              </w:rPr>
              <w:t>的</w:t>
            </w:r>
            <w:r>
              <w:rPr>
                <w:rFonts w:hint="eastAsia" w:ascii="宋体" w:hAnsi="宋体"/>
                <w:szCs w:val="24"/>
              </w:rPr>
              <w:t>，得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4"/>
              </w:rPr>
              <w:t>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4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第二档，响应较全面、细致，满足采购需求</w:t>
            </w:r>
            <w:r>
              <w:rPr>
                <w:rFonts w:hint="eastAsia" w:ascii="宋体" w:hAnsi="宋体"/>
                <w:szCs w:val="24"/>
                <w:lang w:eastAsia="zh-CN"/>
              </w:rPr>
              <w:t>的</w:t>
            </w:r>
            <w:r>
              <w:rPr>
                <w:rFonts w:hint="eastAsia" w:ascii="宋体" w:hAnsi="宋体"/>
                <w:szCs w:val="24"/>
              </w:rPr>
              <w:t>，得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4"/>
              </w:rPr>
              <w:t>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szCs w:val="24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szCs w:val="24"/>
              </w:rPr>
              <w:t>第三档，基本响应采购需求，但有缺陷或部分一般指标不满足需求</w:t>
            </w:r>
            <w:r>
              <w:rPr>
                <w:rFonts w:hint="eastAsia" w:ascii="宋体" w:hAnsi="宋体"/>
                <w:szCs w:val="24"/>
                <w:lang w:eastAsia="zh-CN"/>
              </w:rPr>
              <w:t>的</w:t>
            </w:r>
            <w:r>
              <w:rPr>
                <w:rFonts w:hint="eastAsia" w:ascii="宋体" w:hAnsi="宋体"/>
                <w:szCs w:val="24"/>
              </w:rPr>
              <w:t>，得0-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1.5</w:t>
            </w:r>
            <w:r>
              <w:rPr>
                <w:rFonts w:hint="eastAsia" w:ascii="宋体" w:hAnsi="宋体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同类业绩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default" w:ascii="宋体" w:hAnsi="宋体" w:eastAsia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5</w:t>
            </w:r>
          </w:p>
        </w:tc>
        <w:tc>
          <w:tcPr>
            <w:tcW w:w="5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</w:pPr>
            <w:r>
              <w:rPr>
                <w:rFonts w:hint="eastAsia"/>
                <w:lang w:val="en-US" w:eastAsia="zh-CN"/>
              </w:rPr>
              <w:t>供应商需提交近五年内，相关服务案例，须提交相应图文资料及合同</w:t>
            </w:r>
            <w:r>
              <w:rPr>
                <w:rFonts w:hint="eastAsia"/>
                <w:color w:val="auto"/>
                <w:lang w:val="en-US"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每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提交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1个服务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案例，得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  <w:r>
              <w:rPr>
                <w:rFonts w:hint="eastAsia"/>
                <w:color w:val="auto"/>
                <w:lang w:val="en-US" w:eastAsia="zh-CN"/>
              </w:rPr>
              <w:t>此项最高得5分。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售后服务及体系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default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15</w:t>
            </w:r>
          </w:p>
        </w:tc>
        <w:tc>
          <w:tcPr>
            <w:tcW w:w="5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根据</w:t>
            </w:r>
            <w:r>
              <w:rPr>
                <w:rFonts w:hint="eastAsia" w:ascii="宋体" w:hAnsi="宋体"/>
                <w:szCs w:val="24"/>
                <w:lang w:eastAsia="zh-CN"/>
              </w:rPr>
              <w:t>供应商</w:t>
            </w:r>
            <w:r>
              <w:rPr>
                <w:rFonts w:ascii="宋体" w:hAnsi="宋体"/>
                <w:szCs w:val="24"/>
              </w:rPr>
              <w:t>的售后服务</w:t>
            </w:r>
            <w:r>
              <w:rPr>
                <w:rFonts w:hint="eastAsia" w:ascii="宋体" w:hAnsi="宋体"/>
                <w:szCs w:val="24"/>
              </w:rPr>
              <w:t>、技术支持</w:t>
            </w:r>
            <w:r>
              <w:rPr>
                <w:rFonts w:ascii="宋体" w:hAnsi="宋体"/>
                <w:szCs w:val="24"/>
              </w:rPr>
              <w:t>能力与承诺</w:t>
            </w:r>
            <w:r>
              <w:rPr>
                <w:rFonts w:hint="eastAsia" w:ascii="宋体" w:hAnsi="宋体"/>
                <w:szCs w:val="24"/>
              </w:rPr>
              <w:t>优劣进行综合比较评价：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第一档，售后服务保障体系及措施完善，技术支持能力强，服务</w:t>
            </w:r>
            <w:r>
              <w:rPr>
                <w:rFonts w:ascii="宋体" w:hAnsi="宋体"/>
                <w:szCs w:val="24"/>
              </w:rPr>
              <w:t>响应快，</w:t>
            </w:r>
            <w:r>
              <w:rPr>
                <w:rFonts w:hint="eastAsia" w:ascii="宋体" w:hAnsi="宋体"/>
                <w:szCs w:val="24"/>
              </w:rPr>
              <w:t>响应程度高或优于采购需求的，得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szCs w:val="24"/>
              </w:rPr>
              <w:t>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4"/>
              </w:rPr>
              <w:t>分</w:t>
            </w:r>
            <w:r>
              <w:rPr>
                <w:rFonts w:ascii="宋体" w:hAnsi="宋体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第二档，售后服务保障体系及多措施较好，技术支持能力较强，服务响应较快，满足采购需求</w:t>
            </w:r>
            <w:r>
              <w:rPr>
                <w:rFonts w:hint="eastAsia" w:ascii="宋体" w:hAnsi="宋体"/>
                <w:szCs w:val="24"/>
                <w:lang w:eastAsia="zh-CN"/>
              </w:rPr>
              <w:t>的</w:t>
            </w:r>
            <w:r>
              <w:rPr>
                <w:rFonts w:hint="eastAsia" w:ascii="宋体" w:hAnsi="宋体"/>
                <w:szCs w:val="24"/>
              </w:rPr>
              <w:t>，得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4"/>
              </w:rPr>
              <w:t>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10.5</w:t>
            </w:r>
            <w:r>
              <w:rPr>
                <w:rFonts w:hint="eastAsia" w:ascii="宋体" w:hAnsi="宋体"/>
                <w:szCs w:val="24"/>
              </w:rPr>
              <w:t>分</w:t>
            </w:r>
            <w:r>
              <w:rPr>
                <w:rFonts w:ascii="宋体" w:hAnsi="宋体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  <w:szCs w:val="24"/>
              </w:rPr>
              <w:t>第三档，售后服务保障体系及措施基本符合招标要求，但技术支持能力和服务响应速度较差或一般</w:t>
            </w:r>
            <w:r>
              <w:rPr>
                <w:rFonts w:hint="eastAsia" w:ascii="宋体" w:hAnsi="宋体"/>
                <w:szCs w:val="24"/>
                <w:lang w:eastAsia="zh-CN"/>
              </w:rPr>
              <w:t>的</w:t>
            </w:r>
            <w:r>
              <w:rPr>
                <w:rFonts w:ascii="宋体" w:hAnsi="宋体"/>
                <w:szCs w:val="24"/>
              </w:rPr>
              <w:t>，</w:t>
            </w:r>
            <w:r>
              <w:rPr>
                <w:rFonts w:hint="eastAsia" w:ascii="宋体" w:hAnsi="宋体"/>
                <w:szCs w:val="24"/>
              </w:rPr>
              <w:t>得0-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5.5</w:t>
            </w:r>
            <w:r>
              <w:rPr>
                <w:rFonts w:hint="eastAsia" w:ascii="宋体" w:hAnsi="宋体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4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技术部分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（共55分）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 w:eastAsia="宋体"/>
                <w:b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Cs w:val="24"/>
              </w:rPr>
              <w:t>技术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参数</w:t>
            </w:r>
            <w:r>
              <w:rPr>
                <w:rFonts w:hint="eastAsia" w:ascii="宋体" w:hAnsi="宋体"/>
                <w:b/>
                <w:szCs w:val="24"/>
              </w:rPr>
              <w:t>响应情况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default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15</w:t>
            </w:r>
          </w:p>
        </w:tc>
        <w:tc>
          <w:tcPr>
            <w:tcW w:w="5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outlineLvl w:val="9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不能实质性满足重要</w:t>
            </w:r>
            <w:r>
              <w:rPr>
                <w:rFonts w:hint="eastAsia" w:ascii="宋体" w:hAnsi="宋体"/>
                <w:szCs w:val="24"/>
                <w:lang w:eastAsia="zh-CN"/>
              </w:rPr>
              <w:t>技术参数</w:t>
            </w:r>
            <w:r>
              <w:rPr>
                <w:rFonts w:hint="eastAsia" w:ascii="宋体" w:hAnsi="宋体"/>
                <w:szCs w:val="24"/>
              </w:rPr>
              <w:t>要求的</w:t>
            </w:r>
            <w:r>
              <w:rPr>
                <w:rFonts w:hint="eastAsia" w:ascii="宋体" w:hAnsi="宋体"/>
                <w:szCs w:val="24"/>
                <w:lang w:eastAsia="zh-CN"/>
              </w:rPr>
              <w:t>为</w:t>
            </w:r>
            <w:r>
              <w:rPr>
                <w:rFonts w:hint="eastAsia" w:ascii="宋体" w:hAnsi="宋体"/>
                <w:szCs w:val="24"/>
              </w:rPr>
              <w:t>无效</w:t>
            </w:r>
            <w:r>
              <w:rPr>
                <w:rFonts w:hint="eastAsia" w:ascii="宋体" w:hAnsi="宋体"/>
                <w:szCs w:val="24"/>
                <w:lang w:eastAsia="zh-CN"/>
              </w:rPr>
              <w:t>响应</w:t>
            </w:r>
            <w:r>
              <w:rPr>
                <w:rFonts w:hint="eastAsia" w:ascii="宋体" w:hAnsi="宋体"/>
                <w:szCs w:val="24"/>
              </w:rPr>
              <w:t>。在满足重要</w:t>
            </w:r>
            <w:r>
              <w:rPr>
                <w:rFonts w:hint="eastAsia" w:ascii="宋体" w:hAnsi="宋体"/>
                <w:szCs w:val="24"/>
                <w:lang w:eastAsia="zh-CN"/>
              </w:rPr>
              <w:t>技术参数要求</w:t>
            </w:r>
            <w:r>
              <w:rPr>
                <w:rFonts w:hint="eastAsia" w:ascii="宋体" w:hAnsi="宋体"/>
                <w:szCs w:val="24"/>
              </w:rPr>
              <w:t>的基础上，对</w:t>
            </w:r>
            <w:r>
              <w:rPr>
                <w:rFonts w:hint="eastAsia" w:ascii="宋体" w:hAnsi="宋体"/>
                <w:szCs w:val="24"/>
                <w:lang w:eastAsia="zh-CN"/>
              </w:rPr>
              <w:t>供应商的技术参数</w:t>
            </w:r>
            <w:r>
              <w:rPr>
                <w:rFonts w:hint="eastAsia" w:ascii="宋体" w:hAnsi="宋体"/>
                <w:szCs w:val="24"/>
              </w:rPr>
              <w:t>响应程度进行综合比较评价：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outlineLvl w:val="9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第一档，响应全面，描述完备、细致，完全满足且部分优于采购需求</w:t>
            </w:r>
            <w:r>
              <w:rPr>
                <w:rFonts w:hint="eastAsia" w:ascii="宋体" w:hAnsi="宋体"/>
                <w:szCs w:val="24"/>
                <w:lang w:eastAsia="zh-CN"/>
              </w:rPr>
              <w:t>的</w:t>
            </w:r>
            <w:r>
              <w:rPr>
                <w:rFonts w:hint="eastAsia" w:ascii="宋体" w:hAnsi="宋体"/>
                <w:szCs w:val="24"/>
              </w:rPr>
              <w:t>，得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szCs w:val="24"/>
              </w:rPr>
              <w:t>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4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outlineLvl w:val="9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第二档，响应较全面、细致，满足采购需求</w:t>
            </w:r>
            <w:r>
              <w:rPr>
                <w:rFonts w:hint="eastAsia" w:ascii="宋体" w:hAnsi="宋体"/>
                <w:szCs w:val="24"/>
                <w:lang w:eastAsia="zh-CN"/>
              </w:rPr>
              <w:t>的</w:t>
            </w:r>
            <w:r>
              <w:rPr>
                <w:rFonts w:hint="eastAsia" w:ascii="宋体" w:hAnsi="宋体"/>
                <w:szCs w:val="24"/>
              </w:rPr>
              <w:t>，得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4"/>
              </w:rPr>
              <w:t>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10.5</w:t>
            </w:r>
            <w:r>
              <w:rPr>
                <w:rFonts w:hint="eastAsia" w:ascii="宋体" w:hAnsi="宋体"/>
                <w:szCs w:val="24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4"/>
              </w:rPr>
              <w:t>第三档，基本响应采购需求，但有缺陷或部分一般指标不满足需求</w:t>
            </w:r>
            <w:r>
              <w:rPr>
                <w:rFonts w:hint="eastAsia" w:ascii="宋体" w:hAnsi="宋体"/>
                <w:szCs w:val="24"/>
                <w:lang w:eastAsia="zh-CN"/>
              </w:rPr>
              <w:t>的</w:t>
            </w:r>
            <w:r>
              <w:rPr>
                <w:rFonts w:hint="eastAsia" w:ascii="宋体" w:hAnsi="宋体"/>
                <w:szCs w:val="24"/>
              </w:rPr>
              <w:t>，得0-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5.5</w:t>
            </w:r>
            <w:r>
              <w:rPr>
                <w:rFonts w:hint="eastAsia" w:ascii="宋体" w:hAnsi="宋体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eastAsia="zh-CN"/>
              </w:rPr>
              <w:t>实施方案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default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20</w:t>
            </w:r>
          </w:p>
        </w:tc>
        <w:tc>
          <w:tcPr>
            <w:tcW w:w="5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根据</w:t>
            </w:r>
            <w:r>
              <w:rPr>
                <w:rFonts w:hint="eastAsia" w:ascii="宋体" w:hAnsi="宋体"/>
                <w:szCs w:val="24"/>
                <w:lang w:eastAsia="zh-CN"/>
              </w:rPr>
              <w:t>供应商提供的项目实施方案进行评价</w:t>
            </w:r>
            <w:r>
              <w:rPr>
                <w:rFonts w:hint="eastAsia" w:ascii="宋体" w:hAnsi="宋体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第一档，</w:t>
            </w:r>
            <w:r>
              <w:rPr>
                <w:rFonts w:hint="eastAsia" w:ascii="宋体" w:hAnsi="宋体"/>
                <w:szCs w:val="24"/>
                <w:lang w:eastAsia="zh-CN"/>
              </w:rPr>
              <w:t>项目实施方案安排科学、保障措施完善有力的</w:t>
            </w:r>
            <w:r>
              <w:rPr>
                <w:rFonts w:hint="eastAsia" w:ascii="宋体" w:hAnsi="宋体"/>
                <w:szCs w:val="24"/>
              </w:rPr>
              <w:t>，得1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4"/>
              </w:rPr>
              <w:t>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4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第二档，</w:t>
            </w:r>
            <w:r>
              <w:rPr>
                <w:rFonts w:hint="eastAsia" w:ascii="宋体" w:hAnsi="宋体"/>
                <w:szCs w:val="24"/>
                <w:lang w:eastAsia="zh-CN"/>
              </w:rPr>
              <w:t>项目实施方案安排较科学、保障措施较完善有力的</w:t>
            </w:r>
            <w:r>
              <w:rPr>
                <w:rFonts w:hint="eastAsia" w:ascii="宋体" w:hAnsi="宋体"/>
                <w:szCs w:val="24"/>
              </w:rPr>
              <w:t>， 得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4"/>
              </w:rPr>
              <w:t>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13.5</w:t>
            </w:r>
            <w:r>
              <w:rPr>
                <w:rFonts w:hint="eastAsia" w:ascii="宋体" w:hAnsi="宋体"/>
                <w:szCs w:val="24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left"/>
              <w:textAlignment w:val="baseline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szCs w:val="24"/>
              </w:rPr>
              <w:t>第三档，</w:t>
            </w:r>
            <w:r>
              <w:rPr>
                <w:rFonts w:hint="eastAsia" w:ascii="宋体" w:hAnsi="宋体"/>
                <w:szCs w:val="24"/>
                <w:lang w:eastAsia="zh-CN"/>
              </w:rPr>
              <w:t>项目实施方案安排一般、保障措施一般的</w:t>
            </w:r>
            <w:r>
              <w:rPr>
                <w:rFonts w:hint="eastAsia" w:ascii="宋体" w:hAnsi="宋体"/>
                <w:szCs w:val="24"/>
              </w:rPr>
              <w:t>，得0-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6.5</w:t>
            </w:r>
            <w:r>
              <w:rPr>
                <w:rFonts w:hint="eastAsia" w:ascii="宋体" w:hAnsi="宋体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/>
                <w:b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Cs w:val="24"/>
                <w:lang w:eastAsia="zh-CN"/>
              </w:rPr>
              <w:t>项目实施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  <w:lang w:eastAsia="zh-CN"/>
              </w:rPr>
              <w:t>团队</w:t>
            </w: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配置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default" w:ascii="宋体" w:hAnsi="宋体" w:eastAsia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20</w:t>
            </w:r>
          </w:p>
        </w:tc>
        <w:tc>
          <w:tcPr>
            <w:tcW w:w="5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根据</w:t>
            </w:r>
            <w:r>
              <w:rPr>
                <w:rFonts w:hint="eastAsia" w:ascii="宋体" w:hAnsi="宋体" w:eastAsia="宋体" w:cs="宋体"/>
                <w:szCs w:val="22"/>
                <w:lang w:eastAsia="zh-CN"/>
              </w:rPr>
              <w:t>供应商提供的项目实施团队的组织结构和人员配备优劣进行比较：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第一档，</w:t>
            </w:r>
            <w:r>
              <w:rPr>
                <w:rFonts w:hint="eastAsia" w:ascii="宋体" w:hAnsi="宋体" w:eastAsia="宋体" w:cs="宋体"/>
                <w:szCs w:val="22"/>
                <w:lang w:val="en-US" w:eastAsia="zh-CN"/>
              </w:rPr>
              <w:t>团队配置</w:t>
            </w:r>
            <w:r>
              <w:rPr>
                <w:rFonts w:hint="eastAsia" w:ascii="宋体" w:hAnsi="宋体" w:eastAsia="宋体" w:cs="宋体"/>
                <w:szCs w:val="22"/>
                <w:lang w:eastAsia="zh-CN"/>
              </w:rPr>
              <w:t>合理，团队人员专业性强、经验丰富，符合项目特点的，得</w:t>
            </w:r>
            <w:r>
              <w:rPr>
                <w:rFonts w:hint="eastAsia" w:ascii="宋体" w:hAnsi="宋体" w:cs="宋体"/>
                <w:szCs w:val="22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Cs w:val="22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Cs w:val="22"/>
                <w:lang w:val="en-US" w:eastAsia="zh-CN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第二档，</w:t>
            </w:r>
            <w:r>
              <w:rPr>
                <w:rFonts w:hint="eastAsia" w:ascii="宋体" w:hAnsi="宋体" w:eastAsia="宋体" w:cs="宋体"/>
                <w:szCs w:val="22"/>
                <w:lang w:val="en-US" w:eastAsia="zh-CN"/>
              </w:rPr>
              <w:t>团队配置较</w:t>
            </w:r>
            <w:r>
              <w:rPr>
                <w:rFonts w:hint="eastAsia" w:ascii="宋体" w:hAnsi="宋体" w:eastAsia="宋体" w:cs="宋体"/>
                <w:szCs w:val="22"/>
                <w:lang w:eastAsia="zh-CN"/>
              </w:rPr>
              <w:t>合理，团队人员专业性较强、经验较丰富</w:t>
            </w:r>
            <w:r>
              <w:rPr>
                <w:rFonts w:hint="eastAsia" w:ascii="宋体" w:hAnsi="宋体" w:eastAsia="宋体" w:cs="宋体"/>
                <w:szCs w:val="22"/>
              </w:rPr>
              <w:t>，</w:t>
            </w:r>
            <w:r>
              <w:rPr>
                <w:rFonts w:hint="eastAsia" w:ascii="宋体" w:hAnsi="宋体" w:eastAsia="宋体" w:cs="宋体"/>
                <w:szCs w:val="22"/>
                <w:lang w:eastAsia="zh-CN"/>
              </w:rPr>
              <w:t>基本符合项目特点，</w:t>
            </w:r>
            <w:r>
              <w:rPr>
                <w:rFonts w:hint="eastAsia" w:ascii="宋体" w:hAnsi="宋体" w:eastAsia="宋体" w:cs="宋体"/>
                <w:szCs w:val="22"/>
              </w:rPr>
              <w:t>得</w:t>
            </w:r>
            <w:r>
              <w:rPr>
                <w:rFonts w:hint="eastAsia" w:ascii="宋体" w:hAnsi="宋体" w:cs="宋体"/>
                <w:szCs w:val="22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Cs w:val="22"/>
              </w:rPr>
              <w:t>-</w:t>
            </w:r>
            <w:r>
              <w:rPr>
                <w:rFonts w:hint="eastAsia" w:ascii="宋体" w:hAnsi="宋体" w:cs="宋体"/>
                <w:szCs w:val="22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Cs w:val="22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第三档，</w:t>
            </w:r>
            <w:r>
              <w:rPr>
                <w:rFonts w:hint="eastAsia" w:ascii="宋体" w:hAnsi="宋体" w:eastAsia="宋体" w:cs="宋体"/>
                <w:szCs w:val="22"/>
                <w:lang w:val="en-US" w:eastAsia="zh-CN"/>
              </w:rPr>
              <w:t>团队配置</w:t>
            </w:r>
            <w:r>
              <w:rPr>
                <w:rFonts w:hint="eastAsia" w:ascii="宋体" w:hAnsi="宋体" w:eastAsia="宋体" w:cs="宋体"/>
                <w:szCs w:val="22"/>
                <w:lang w:eastAsia="zh-CN"/>
              </w:rPr>
              <w:t>构成基本合理、专业性欠缺或低于其他供应商的</w:t>
            </w:r>
            <w:r>
              <w:rPr>
                <w:rFonts w:hint="eastAsia" w:ascii="宋体" w:hAnsi="宋体" w:eastAsia="宋体" w:cs="宋体"/>
                <w:szCs w:val="22"/>
              </w:rPr>
              <w:t>，得0-</w:t>
            </w:r>
            <w:r>
              <w:rPr>
                <w:rFonts w:hint="eastAsia" w:ascii="宋体" w:hAnsi="宋体" w:cs="宋体"/>
                <w:szCs w:val="22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Cs w:val="22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合计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100</w:t>
            </w:r>
          </w:p>
        </w:tc>
        <w:tc>
          <w:tcPr>
            <w:tcW w:w="5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240" w:firstLineChars="100"/>
              <w:jc w:val="both"/>
              <w:textAlignment w:val="baseline"/>
              <w:rPr>
                <w:rFonts w:hint="eastAsia" w:ascii="宋体" w:hAnsi="宋体" w:eastAsia="宋体" w:cs="宋体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分档打分的，同档次打分最小分值差为0.5分</w:t>
            </w:r>
            <w:r>
              <w:rPr>
                <w:rFonts w:hint="eastAsia" w:ascii="宋体" w:hAnsi="宋体" w:eastAsia="宋体" w:cs="宋体"/>
                <w:szCs w:val="24"/>
                <w:lang w:eastAsia="zh-CN"/>
              </w:rPr>
              <w:t>。</w:t>
            </w:r>
          </w:p>
        </w:tc>
      </w:tr>
    </w:tbl>
    <w:p>
      <w:pPr>
        <w:pStyle w:val="9"/>
        <w:ind w:left="0" w:leftChars="0" w:firstLine="0" w:firstLineChars="0"/>
      </w:pPr>
    </w:p>
    <w:sectPr>
      <w:footerReference r:id="rId5" w:type="default"/>
      <w:pgSz w:w="11906" w:h="16838"/>
      <w:pgMar w:top="1803" w:right="1440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4ODg3ZTcyNmQ4YWVhZjc1N2RiM2UzMmU5OWNhYzQifQ=="/>
  </w:docVars>
  <w:rsids>
    <w:rsidRoot w:val="47DD26AD"/>
    <w:rsid w:val="01E63109"/>
    <w:rsid w:val="0401564F"/>
    <w:rsid w:val="06DE0669"/>
    <w:rsid w:val="0AE76117"/>
    <w:rsid w:val="0B9B177B"/>
    <w:rsid w:val="0C2B7C14"/>
    <w:rsid w:val="0F8331B8"/>
    <w:rsid w:val="104414A1"/>
    <w:rsid w:val="108F2B3B"/>
    <w:rsid w:val="118B5827"/>
    <w:rsid w:val="1291261C"/>
    <w:rsid w:val="135859D1"/>
    <w:rsid w:val="136A56A9"/>
    <w:rsid w:val="18E83A79"/>
    <w:rsid w:val="198B3FF6"/>
    <w:rsid w:val="1A562BE6"/>
    <w:rsid w:val="1A984EC8"/>
    <w:rsid w:val="1B9F1A5D"/>
    <w:rsid w:val="1CDC3403"/>
    <w:rsid w:val="1CF84072"/>
    <w:rsid w:val="1F297C9A"/>
    <w:rsid w:val="1FAE57BF"/>
    <w:rsid w:val="20DE1FCF"/>
    <w:rsid w:val="23D575A0"/>
    <w:rsid w:val="24A866B2"/>
    <w:rsid w:val="24C23BFE"/>
    <w:rsid w:val="26F038A3"/>
    <w:rsid w:val="281E4A9B"/>
    <w:rsid w:val="2B571592"/>
    <w:rsid w:val="2B8E6033"/>
    <w:rsid w:val="2E84758C"/>
    <w:rsid w:val="31317992"/>
    <w:rsid w:val="328A5B17"/>
    <w:rsid w:val="355A6C8B"/>
    <w:rsid w:val="356A46F3"/>
    <w:rsid w:val="36172D33"/>
    <w:rsid w:val="361F7EE6"/>
    <w:rsid w:val="37CD2516"/>
    <w:rsid w:val="3AC90D96"/>
    <w:rsid w:val="3D952558"/>
    <w:rsid w:val="3FB369F4"/>
    <w:rsid w:val="41826444"/>
    <w:rsid w:val="41B73964"/>
    <w:rsid w:val="41E01599"/>
    <w:rsid w:val="43307C55"/>
    <w:rsid w:val="44E26E32"/>
    <w:rsid w:val="45C539BA"/>
    <w:rsid w:val="47160C22"/>
    <w:rsid w:val="47DD26AD"/>
    <w:rsid w:val="4AA85572"/>
    <w:rsid w:val="4CD46CC7"/>
    <w:rsid w:val="52643FA2"/>
    <w:rsid w:val="53047E9B"/>
    <w:rsid w:val="5402361B"/>
    <w:rsid w:val="55FA0951"/>
    <w:rsid w:val="572D4DC0"/>
    <w:rsid w:val="57682D9F"/>
    <w:rsid w:val="57960827"/>
    <w:rsid w:val="57FA3179"/>
    <w:rsid w:val="5A1046F3"/>
    <w:rsid w:val="5A24297F"/>
    <w:rsid w:val="5BC3069D"/>
    <w:rsid w:val="5D7B3EF1"/>
    <w:rsid w:val="5DE53A3A"/>
    <w:rsid w:val="5F963B6A"/>
    <w:rsid w:val="5FEB577C"/>
    <w:rsid w:val="62943612"/>
    <w:rsid w:val="62E0640F"/>
    <w:rsid w:val="65BE1992"/>
    <w:rsid w:val="68BD2E33"/>
    <w:rsid w:val="69154FF6"/>
    <w:rsid w:val="691A5978"/>
    <w:rsid w:val="69D83714"/>
    <w:rsid w:val="6D1A22D9"/>
    <w:rsid w:val="6F7A1313"/>
    <w:rsid w:val="704F5BCD"/>
    <w:rsid w:val="72D20803"/>
    <w:rsid w:val="75FD5565"/>
    <w:rsid w:val="7697FD68"/>
    <w:rsid w:val="78C31B17"/>
    <w:rsid w:val="79110806"/>
    <w:rsid w:val="7B325231"/>
    <w:rsid w:val="7BB6FEB2"/>
    <w:rsid w:val="7C77ED30"/>
    <w:rsid w:val="7CFE2B8F"/>
    <w:rsid w:val="7D0D1C34"/>
    <w:rsid w:val="7DA65CFB"/>
    <w:rsid w:val="7DFF3CB7"/>
    <w:rsid w:val="7FBB46FD"/>
    <w:rsid w:val="B9FF0675"/>
    <w:rsid w:val="BDBB03E7"/>
    <w:rsid w:val="BFFB1DD8"/>
    <w:rsid w:val="F97BF56B"/>
    <w:rsid w:val="FEBDA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leftChars="300" w:firstLine="880" w:firstLineChars="200"/>
      <w:jc w:val="left"/>
    </w:pPr>
    <w:rPr>
      <w:rFonts w:ascii="仿宋_GB2312" w:hAnsi="仿宋_GB2312" w:eastAsia="仿宋_GB2312" w:cs="Times New Roman"/>
      <w:sz w:val="32"/>
      <w:szCs w:val="24"/>
      <w:lang w:val="zh-CN" w:bidi="zh-CN"/>
    </w:r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styleId="4">
    <w:name w:val="toc 2"/>
    <w:basedOn w:val="1"/>
    <w:next w:val="1"/>
    <w:qFormat/>
    <w:uiPriority w:val="0"/>
    <w:pPr>
      <w:tabs>
        <w:tab w:val="right" w:leader="dot" w:pos="8280"/>
      </w:tabs>
      <w:ind w:right="47" w:rightChars="47"/>
    </w:pPr>
  </w:style>
  <w:style w:type="paragraph" w:styleId="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 2"/>
    <w:basedOn w:val="5"/>
    <w:next w:val="1"/>
    <w:qFormat/>
    <w:uiPriority w:val="0"/>
    <w:pPr>
      <w:keepNext/>
      <w:keepLines/>
      <w:spacing w:after="0" w:line="560" w:lineRule="exact"/>
      <w:ind w:left="0" w:leftChars="0" w:firstLine="480"/>
      <w:jc w:val="left"/>
      <w:outlineLvl w:val="3"/>
    </w:pPr>
    <w:rPr>
      <w:rFonts w:ascii="Times New Roman" w:hAnsi="Times New Roman" w:eastAsia="仿宋_GB2312" w:cs="Times New Roman"/>
      <w:bCs/>
      <w:sz w:val="32"/>
      <w:szCs w:val="28"/>
    </w:rPr>
  </w:style>
  <w:style w:type="character" w:customStyle="1" w:styleId="12">
    <w:name w:val="bjh-p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1131</Words>
  <Characters>1215</Characters>
  <Lines>0</Lines>
  <Paragraphs>0</Paragraphs>
  <TotalTime>11</TotalTime>
  <ScaleCrop>false</ScaleCrop>
  <LinksUpToDate>false</LinksUpToDate>
  <CharactersWithSpaces>1216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2021-04-26T22:26:00Z</dcterms:created>
  <dc:creator>沈义</dc:creator>
  <cp:lastModifiedBy>uos</cp:lastModifiedBy>
  <cp:lastPrinted>2021-05-21T19:16:00Z</cp:lastPrinted>
  <dcterms:modified xsi:type="dcterms:W3CDTF">2023-04-28T10:34:31Z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265BA4100CB34328A6C8C828298CBF3B</vt:lpwstr>
  </property>
</Properties>
</file>