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sz w:val="32"/>
          <w:szCs w:val="32"/>
        </w:rPr>
      </w:pPr>
      <w:r>
        <w:rPr>
          <w:rFonts w:hint="eastAsia" w:ascii="宋体" w:hAnsi="宋体" w:eastAsia="宋体"/>
          <w:b/>
          <w:bCs/>
          <w:sz w:val="32"/>
          <w:szCs w:val="32"/>
        </w:rPr>
        <w:t>河北博物院珍贵文物预防性保护平台运维服务项目</w:t>
      </w:r>
      <w:r>
        <w:rPr>
          <w:rFonts w:hint="eastAsia" w:ascii="方正小标宋_GBK" w:hAnsi="方正小标宋_GBK" w:eastAsia="方正小标宋_GBK" w:cs="方正小标宋_GBK"/>
          <w:sz w:val="32"/>
          <w:szCs w:val="32"/>
        </w:rPr>
        <w:br w:type="textWrapping"/>
      </w:r>
      <w:r>
        <w:rPr>
          <w:rFonts w:hint="eastAsia" w:ascii="宋体" w:hAnsi="宋体" w:eastAsia="宋体" w:cs="Times New Roman"/>
          <w:b/>
          <w:bCs/>
          <w:sz w:val="32"/>
          <w:szCs w:val="32"/>
        </w:rPr>
        <w:t>评</w:t>
      </w:r>
      <w:r>
        <w:rPr>
          <w:rFonts w:hint="eastAsia" w:ascii="宋体" w:hAnsi="宋体" w:eastAsia="宋体" w:cs="Times New Roman"/>
          <w:b/>
          <w:bCs/>
          <w:sz w:val="32"/>
          <w:szCs w:val="32"/>
          <w:lang w:val="en-US" w:eastAsia="zh-CN"/>
        </w:rPr>
        <w:t>分</w:t>
      </w:r>
      <w:r>
        <w:rPr>
          <w:rFonts w:hint="eastAsia" w:ascii="宋体" w:hAnsi="宋体" w:eastAsia="宋体" w:cs="Times New Roman"/>
          <w:b/>
          <w:bCs/>
          <w:sz w:val="32"/>
          <w:szCs w:val="32"/>
        </w:rPr>
        <w:t>标准</w:t>
      </w:r>
    </w:p>
    <w:tbl>
      <w:tblPr>
        <w:tblStyle w:val="8"/>
        <w:tblpPr w:leftFromText="180" w:rightFromText="180" w:vertAnchor="text" w:horzAnchor="page" w:tblpX="1441" w:tblpY="733"/>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168"/>
        <w:gridCol w:w="1214"/>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168" w:type="dxa"/>
            <w:vAlign w:val="center"/>
          </w:tcPr>
          <w:p>
            <w:pPr>
              <w:spacing w:line="400" w:lineRule="exact"/>
              <w:jc w:val="center"/>
              <w:rPr>
                <w:rFonts w:ascii="宋体" w:hAnsi="宋体"/>
                <w:b/>
                <w:szCs w:val="24"/>
              </w:rPr>
            </w:pPr>
            <w:r>
              <w:rPr>
                <w:rFonts w:hint="eastAsia" w:ascii="宋体" w:hAnsi="宋体"/>
                <w:b/>
                <w:szCs w:val="24"/>
              </w:rPr>
              <w:t>评审项目</w:t>
            </w:r>
          </w:p>
        </w:tc>
        <w:tc>
          <w:tcPr>
            <w:tcW w:w="1214"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16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投标人报价得分＝（基准价／该投标人报价）×</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（保留1位小数点，第2位四舍五入，下同）注：基准价为满足招标文件要求且报价最低的供应商的价格。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25分</w:t>
            </w:r>
            <w:r>
              <w:rPr>
                <w:rFonts w:hint="eastAsia" w:ascii="宋体" w:hAnsi="宋体"/>
                <w:b/>
                <w:sz w:val="22"/>
                <w:szCs w:val="22"/>
                <w:lang w:eastAsia="zh-CN"/>
              </w:rPr>
              <w:t>）</w:t>
            </w:r>
          </w:p>
        </w:tc>
        <w:tc>
          <w:tcPr>
            <w:tcW w:w="116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不能实质性满足重要商务要求的</w:t>
            </w:r>
            <w:r>
              <w:rPr>
                <w:rFonts w:hint="eastAsia" w:ascii="宋体" w:hAnsi="宋体" w:eastAsia="宋体" w:cs="宋体"/>
                <w:sz w:val="24"/>
                <w:szCs w:val="24"/>
                <w:lang w:eastAsia="zh-CN"/>
              </w:rPr>
              <w:t>为</w:t>
            </w:r>
            <w:r>
              <w:rPr>
                <w:rFonts w:hint="eastAsia" w:ascii="宋体" w:hAnsi="宋体" w:eastAsia="宋体" w:cs="宋体"/>
                <w:sz w:val="24"/>
                <w:szCs w:val="24"/>
              </w:rPr>
              <w:t>无效</w:t>
            </w:r>
            <w:r>
              <w:rPr>
                <w:rFonts w:hint="eastAsia" w:ascii="宋体" w:hAnsi="宋体" w:eastAsia="宋体" w:cs="宋体"/>
                <w:sz w:val="24"/>
                <w:szCs w:val="24"/>
                <w:lang w:eastAsia="zh-CN"/>
              </w:rPr>
              <w:t>响应</w:t>
            </w:r>
            <w:r>
              <w:rPr>
                <w:rFonts w:hint="eastAsia" w:ascii="宋体" w:hAnsi="宋体" w:eastAsia="宋体" w:cs="宋体"/>
                <w:sz w:val="24"/>
                <w:szCs w:val="24"/>
              </w:rPr>
              <w:t>。在满足重要商务</w:t>
            </w:r>
            <w:r>
              <w:rPr>
                <w:rFonts w:hint="eastAsia" w:ascii="宋体" w:hAnsi="宋体" w:eastAsia="宋体" w:cs="宋体"/>
                <w:sz w:val="24"/>
                <w:szCs w:val="24"/>
                <w:lang w:eastAsia="zh-CN"/>
              </w:rPr>
              <w:t>要求</w:t>
            </w:r>
            <w:r>
              <w:rPr>
                <w:rFonts w:hint="eastAsia" w:ascii="宋体" w:hAnsi="宋体" w:eastAsia="宋体" w:cs="宋体"/>
                <w:sz w:val="24"/>
                <w:szCs w:val="24"/>
              </w:rPr>
              <w:t>的基础上，对</w:t>
            </w:r>
            <w:r>
              <w:rPr>
                <w:rFonts w:hint="eastAsia" w:ascii="宋体" w:hAnsi="宋体" w:eastAsia="宋体" w:cs="宋体"/>
                <w:sz w:val="24"/>
                <w:szCs w:val="24"/>
                <w:lang w:eastAsia="zh-CN"/>
              </w:rPr>
              <w:t>供应商的</w:t>
            </w:r>
            <w:r>
              <w:rPr>
                <w:rFonts w:hint="eastAsia" w:ascii="宋体" w:hAnsi="宋体" w:eastAsia="宋体" w:cs="宋体"/>
                <w:sz w:val="24"/>
                <w:szCs w:val="24"/>
              </w:rPr>
              <w:t>商务</w:t>
            </w:r>
            <w:r>
              <w:rPr>
                <w:rFonts w:hint="eastAsia" w:ascii="宋体" w:hAnsi="宋体" w:eastAsia="宋体" w:cs="宋体"/>
                <w:sz w:val="24"/>
                <w:szCs w:val="24"/>
                <w:lang w:eastAsia="zh-CN"/>
              </w:rPr>
              <w:t>要求</w:t>
            </w:r>
            <w:r>
              <w:rPr>
                <w:rFonts w:hint="eastAsia" w:ascii="宋体" w:hAnsi="宋体" w:eastAsia="宋体" w:cs="宋体"/>
                <w:sz w:val="24"/>
                <w:szCs w:val="24"/>
              </w:rPr>
              <w:t>响应程度进行综合比较评价：</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第一档，响应全面，描述完备、细致，完全满足且部分优于采购需求</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8-10</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第二档，响应较全面、细致，满足采购需求</w:t>
            </w:r>
            <w:r>
              <w:rPr>
                <w:rFonts w:hint="eastAsia" w:ascii="宋体" w:hAnsi="宋体" w:eastAsia="宋体" w:cs="宋体"/>
                <w:sz w:val="24"/>
                <w:szCs w:val="24"/>
                <w:lang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7.5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第三档，基本响应采购需求，但有缺陷或部分一般指标不满足需求</w:t>
            </w:r>
            <w:r>
              <w:rPr>
                <w:rFonts w:hint="eastAsia" w:ascii="宋体" w:hAnsi="宋体" w:eastAsia="宋体" w:cs="宋体"/>
                <w:sz w:val="24"/>
                <w:szCs w:val="24"/>
                <w:lang w:eastAsia="zh-CN"/>
              </w:rPr>
              <w:t>的</w:t>
            </w:r>
            <w:r>
              <w:rPr>
                <w:rFonts w:hint="eastAsia" w:ascii="宋体" w:hAnsi="宋体" w:eastAsia="宋体" w:cs="宋体"/>
                <w:sz w:val="24"/>
                <w:szCs w:val="24"/>
              </w:rPr>
              <w:t>，得0-</w:t>
            </w:r>
            <w:r>
              <w:rPr>
                <w:rFonts w:hint="eastAsia" w:ascii="宋体" w:hAnsi="宋体" w:cs="宋体"/>
                <w:sz w:val="24"/>
                <w:szCs w:val="24"/>
                <w:lang w:val="en-US" w:eastAsia="zh-CN"/>
              </w:rPr>
              <w:t>4.5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16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eastAsia="宋体"/>
                <w:b/>
                <w:szCs w:val="24"/>
                <w:lang w:val="en-US" w:eastAsia="zh-CN"/>
              </w:rPr>
            </w:pPr>
            <w:r>
              <w:rPr>
                <w:rFonts w:hint="eastAsia" w:ascii="宋体" w:hAnsi="宋体"/>
                <w:b/>
                <w:sz w:val="22"/>
                <w:szCs w:val="22"/>
                <w:lang w:val="en-US" w:eastAsia="zh-CN"/>
              </w:rPr>
              <w:t>相关业绩</w:t>
            </w:r>
          </w:p>
        </w:tc>
        <w:tc>
          <w:tcPr>
            <w:tcW w:w="1214"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default" w:ascii="宋体" w:hAnsi="宋体"/>
                <w:b/>
                <w:szCs w:val="24"/>
                <w:lang w:val="en-US"/>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lang w:val="en-US" w:eastAsia="zh-CN"/>
              </w:rPr>
              <w:t>供应商需提</w:t>
            </w:r>
            <w:r>
              <w:rPr>
                <w:rFonts w:hint="eastAsia" w:ascii="宋体" w:hAnsi="宋体" w:cs="宋体"/>
                <w:sz w:val="24"/>
                <w:szCs w:val="24"/>
                <w:lang w:val="en-US" w:eastAsia="zh-CN"/>
              </w:rPr>
              <w:t>供</w:t>
            </w:r>
            <w:r>
              <w:rPr>
                <w:rFonts w:hint="eastAsia" w:ascii="宋体" w:hAnsi="宋体" w:eastAsia="宋体" w:cs="宋体"/>
                <w:sz w:val="24"/>
                <w:szCs w:val="24"/>
                <w:lang w:val="en-US" w:eastAsia="zh-CN"/>
              </w:rPr>
              <w:t>近</w:t>
            </w:r>
            <w:r>
              <w:rPr>
                <w:rFonts w:hint="eastAsia" w:ascii="宋体" w:hAnsi="宋体" w:cs="宋体"/>
                <w:sz w:val="24"/>
                <w:szCs w:val="24"/>
                <w:lang w:val="en-US" w:eastAsia="zh-CN"/>
              </w:rPr>
              <w:t>三年内的软件系统或软硬件结合的综合性系统</w:t>
            </w:r>
            <w:r>
              <w:rPr>
                <w:rFonts w:hint="eastAsia" w:ascii="宋体" w:hAnsi="宋体" w:eastAsia="宋体" w:cs="宋体"/>
                <w:sz w:val="24"/>
                <w:szCs w:val="24"/>
                <w:lang w:val="en-US" w:eastAsia="zh-CN"/>
              </w:rPr>
              <w:t>运维案例，</w:t>
            </w:r>
            <w:r>
              <w:rPr>
                <w:rFonts w:hint="eastAsia" w:ascii="宋体" w:hAnsi="宋体" w:eastAsia="宋体" w:cs="宋体"/>
                <w:sz w:val="24"/>
                <w:szCs w:val="24"/>
              </w:rPr>
              <w:t>每</w:t>
            </w:r>
            <w:r>
              <w:rPr>
                <w:rFonts w:hint="eastAsia" w:ascii="宋体" w:hAnsi="宋体" w:eastAsia="宋体" w:cs="宋体"/>
                <w:sz w:val="24"/>
                <w:szCs w:val="24"/>
                <w:lang w:eastAsia="zh-CN"/>
              </w:rPr>
              <w:t>提交</w:t>
            </w:r>
            <w:r>
              <w:rPr>
                <w:rFonts w:hint="eastAsia" w:ascii="宋体" w:hAnsi="宋体" w:cs="宋体"/>
                <w:sz w:val="24"/>
                <w:szCs w:val="24"/>
                <w:lang w:val="en-US" w:eastAsia="zh-CN"/>
              </w:rPr>
              <w:t>1个</w:t>
            </w:r>
            <w:r>
              <w:rPr>
                <w:rFonts w:hint="eastAsia" w:ascii="宋体" w:hAnsi="宋体" w:eastAsia="宋体" w:cs="宋体"/>
                <w:sz w:val="24"/>
                <w:szCs w:val="24"/>
                <w:lang w:val="en-US" w:eastAsia="zh-CN"/>
              </w:rPr>
              <w:t>相关案例</w:t>
            </w:r>
            <w:r>
              <w:rPr>
                <w:rFonts w:hint="eastAsia" w:ascii="宋体" w:hAnsi="宋体" w:eastAsia="宋体" w:cs="宋体"/>
                <w:sz w:val="24"/>
                <w:szCs w:val="24"/>
              </w:rPr>
              <w:t>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此项最高得15分。（</w:t>
            </w:r>
            <w:r>
              <w:rPr>
                <w:rFonts w:hint="eastAsia"/>
                <w:lang w:eastAsia="zh-CN"/>
              </w:rPr>
              <w:t>需提供</w:t>
            </w:r>
            <w:r>
              <w:rPr>
                <w:rFonts w:hint="eastAsia"/>
                <w:lang w:val="en-US" w:eastAsia="zh-CN"/>
              </w:rPr>
              <w:t>盖章</w:t>
            </w:r>
            <w:r>
              <w:rPr>
                <w:rFonts w:hint="eastAsia"/>
                <w:lang w:eastAsia="zh-CN"/>
              </w:rPr>
              <w:t>合同复印件</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（共55分）</w:t>
            </w:r>
          </w:p>
        </w:tc>
        <w:tc>
          <w:tcPr>
            <w:tcW w:w="1168"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运维实施</w:t>
            </w:r>
            <w:r>
              <w:rPr>
                <w:rFonts w:hint="eastAsia" w:ascii="宋体" w:hAnsi="宋体"/>
                <w:b/>
                <w:sz w:val="22"/>
                <w:szCs w:val="22"/>
                <w:lang w:eastAsia="zh-CN"/>
              </w:rPr>
              <w:t>方案</w:t>
            </w:r>
          </w:p>
        </w:tc>
        <w:tc>
          <w:tcPr>
            <w:tcW w:w="1214"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eastAsia="宋体"/>
                <w:b/>
                <w:color w:val="00B050"/>
                <w:szCs w:val="24"/>
                <w:lang w:val="en-US" w:eastAsia="zh-CN"/>
              </w:rPr>
            </w:pPr>
            <w:r>
              <w:rPr>
                <w:rFonts w:hint="eastAsia" w:ascii="宋体" w:hAnsi="宋体"/>
                <w:b/>
                <w:color w:val="auto"/>
                <w:szCs w:val="24"/>
                <w:lang w:val="en-US" w:eastAsia="zh-CN"/>
              </w:rPr>
              <w:t>25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供应商提供的</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方案进行评价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第一档，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方案科学</w:t>
            </w:r>
            <w:r>
              <w:rPr>
                <w:rFonts w:hint="eastAsia" w:ascii="宋体" w:hAnsi="宋体" w:eastAsia="宋体" w:cs="宋体"/>
                <w:sz w:val="24"/>
                <w:szCs w:val="24"/>
                <w:lang w:val="en-US" w:eastAsia="zh-CN"/>
              </w:rPr>
              <w:t>合理</w:t>
            </w:r>
            <w:r>
              <w:rPr>
                <w:rFonts w:hint="eastAsia" w:ascii="宋体" w:hAnsi="宋体" w:eastAsia="宋体" w:cs="宋体"/>
                <w:sz w:val="24"/>
                <w:szCs w:val="24"/>
                <w:lang w:eastAsia="zh-CN"/>
              </w:rPr>
              <w:t>、保障措施完善有力的</w:t>
            </w:r>
            <w:r>
              <w:rPr>
                <w:rFonts w:hint="eastAsia" w:ascii="宋体" w:hAnsi="宋体" w:eastAsia="宋体" w:cs="宋体"/>
                <w:sz w:val="24"/>
                <w:szCs w:val="24"/>
              </w:rPr>
              <w:t>，得</w:t>
            </w:r>
            <w:r>
              <w:rPr>
                <w:rFonts w:hint="eastAsia" w:ascii="宋体" w:hAnsi="宋体" w:cs="宋体"/>
                <w:sz w:val="24"/>
                <w:szCs w:val="24"/>
                <w:lang w:val="en-US" w:eastAsia="zh-CN"/>
              </w:rPr>
              <w:t>16.5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第二档，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w:t>
            </w:r>
            <w:r>
              <w:rPr>
                <w:rFonts w:hint="eastAsia" w:ascii="宋体" w:hAnsi="宋体" w:eastAsia="宋体" w:cs="宋体"/>
                <w:sz w:val="24"/>
                <w:szCs w:val="24"/>
                <w:lang w:val="en-US" w:eastAsia="zh-CN"/>
              </w:rPr>
              <w:t>较合理</w:t>
            </w:r>
            <w:r>
              <w:rPr>
                <w:rFonts w:hint="eastAsia" w:ascii="宋体" w:hAnsi="宋体" w:eastAsia="宋体" w:cs="宋体"/>
                <w:sz w:val="24"/>
                <w:szCs w:val="24"/>
                <w:lang w:eastAsia="zh-CN"/>
              </w:rPr>
              <w:t>、保障措施较完善的</w:t>
            </w:r>
            <w:r>
              <w:rPr>
                <w:rFonts w:hint="eastAsia" w:ascii="宋体" w:hAnsi="宋体" w:eastAsia="宋体" w:cs="宋体"/>
                <w:sz w:val="24"/>
                <w:szCs w:val="24"/>
              </w:rPr>
              <w:t>，得</w:t>
            </w:r>
            <w:r>
              <w:rPr>
                <w:rFonts w:hint="eastAsia" w:ascii="宋体" w:hAnsi="宋体" w:cs="宋体"/>
                <w:sz w:val="24"/>
                <w:szCs w:val="24"/>
                <w:lang w:val="en-US" w:eastAsia="zh-CN"/>
              </w:rPr>
              <w:t>8.5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16</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w:t>
            </w:r>
            <w:r>
              <w:rPr>
                <w:rFonts w:hint="eastAsia" w:ascii="宋体" w:hAnsi="宋体" w:eastAsia="宋体" w:cs="宋体"/>
                <w:sz w:val="24"/>
                <w:szCs w:val="24"/>
                <w:lang w:val="en-US" w:eastAsia="zh-CN"/>
              </w:rPr>
              <w:t>运维</w:t>
            </w:r>
            <w:r>
              <w:rPr>
                <w:rFonts w:hint="eastAsia" w:ascii="宋体" w:hAnsi="宋体" w:eastAsia="宋体" w:cs="宋体"/>
                <w:sz w:val="24"/>
                <w:szCs w:val="24"/>
                <w:lang w:eastAsia="zh-CN"/>
              </w:rPr>
              <w:t>方案一般、保障措施一般的</w:t>
            </w:r>
            <w:r>
              <w:rPr>
                <w:rFonts w:hint="eastAsia" w:ascii="宋体" w:hAnsi="宋体" w:eastAsia="宋体" w:cs="宋体"/>
                <w:sz w:val="24"/>
                <w:szCs w:val="24"/>
              </w:rPr>
              <w:t>，得</w:t>
            </w:r>
            <w:r>
              <w:rPr>
                <w:rFonts w:hint="eastAsia" w:ascii="宋体" w:hAnsi="宋体" w:eastAsia="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1428" w:type="dxa"/>
            <w:vMerge w:val="continue"/>
            <w:tcBorders/>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tc>
        <w:tc>
          <w:tcPr>
            <w:tcW w:w="1168"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 w:val="22"/>
                <w:szCs w:val="22"/>
                <w:lang w:val="en-US" w:eastAsia="zh-CN"/>
              </w:rPr>
            </w:pPr>
            <w:r>
              <w:rPr>
                <w:rFonts w:hint="eastAsia" w:ascii="宋体" w:hAnsi="宋体"/>
                <w:b/>
                <w:sz w:val="22"/>
                <w:szCs w:val="22"/>
                <w:lang w:val="en-US" w:eastAsia="zh-CN"/>
              </w:rPr>
              <w:t>质量保证措施及工作进度安排</w:t>
            </w:r>
          </w:p>
        </w:tc>
        <w:tc>
          <w:tcPr>
            <w:tcW w:w="1214"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color w:val="auto"/>
                <w:szCs w:val="24"/>
                <w:lang w:val="en-US" w:eastAsia="zh-CN"/>
              </w:rPr>
            </w:pPr>
            <w:r>
              <w:rPr>
                <w:rFonts w:hint="eastAsia" w:ascii="宋体" w:hAnsi="宋体"/>
                <w:b/>
                <w:color w:val="auto"/>
                <w:szCs w:val="24"/>
                <w:lang w:val="en-US" w:eastAsia="zh-CN"/>
              </w:rPr>
              <w:t>10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baseline"/>
              <w:outlineLvl w:val="9"/>
              <w:rPr>
                <w:rFonts w:hint="eastAsia"/>
                <w:lang w:eastAsia="zh-CN"/>
              </w:rPr>
            </w:pPr>
            <w:r>
              <w:rPr>
                <w:rFonts w:hint="eastAsia"/>
              </w:rPr>
              <w:t>根据</w:t>
            </w:r>
            <w:r>
              <w:rPr>
                <w:rFonts w:hint="eastAsia"/>
                <w:lang w:eastAsia="zh-CN"/>
              </w:rPr>
              <w:t>供应商提供的</w:t>
            </w:r>
            <w:r>
              <w:rPr>
                <w:rFonts w:hint="eastAsia"/>
                <w:lang w:val="en-US" w:eastAsia="zh-CN"/>
              </w:rPr>
              <w:t>质量保证措施与工作进度安排</w:t>
            </w:r>
            <w:r>
              <w:rPr>
                <w:rFonts w:hint="eastAsia"/>
                <w:lang w:eastAsia="zh-CN"/>
              </w:rPr>
              <w:t>进行评价：</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baseline"/>
              <w:rPr>
                <w:rFonts w:hint="eastAsia" w:ascii="宋体" w:hAnsi="宋体" w:cs="宋体"/>
                <w:sz w:val="24"/>
                <w:szCs w:val="24"/>
                <w:lang w:val="en-US" w:eastAsia="zh-CN"/>
              </w:rPr>
            </w:pPr>
            <w:r>
              <w:rPr>
                <w:rFonts w:hint="eastAsia" w:ascii="宋体" w:hAnsi="宋体" w:eastAsia="宋体" w:cs="宋体"/>
                <w:sz w:val="24"/>
                <w:szCs w:val="24"/>
              </w:rPr>
              <w:t>第一档，</w:t>
            </w:r>
            <w:r>
              <w:rPr>
                <w:rFonts w:hint="eastAsia" w:ascii="宋体" w:hAnsi="宋体" w:cs="宋体"/>
                <w:sz w:val="24"/>
                <w:szCs w:val="24"/>
                <w:lang w:val="en-US" w:eastAsia="zh-CN"/>
              </w:rPr>
              <w:t>质量保证措施与工作进度安排完善，合理，能充分保证项目进度和质量的，得7-10分；</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第二档，质量保证措施与工作进度安排相对合理，能保证项目进度和质量的，得3.5-6.5分；</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baseline"/>
              <w:rPr>
                <w:rFonts w:hint="default" w:ascii="宋体" w:hAnsi="宋体" w:cs="宋体"/>
                <w:sz w:val="24"/>
                <w:szCs w:val="24"/>
                <w:lang w:val="en-US" w:eastAsia="zh-CN"/>
              </w:rPr>
            </w:pPr>
            <w:r>
              <w:rPr>
                <w:rFonts w:hint="eastAsia" w:ascii="宋体" w:hAnsi="宋体" w:cs="宋体"/>
                <w:sz w:val="24"/>
                <w:szCs w:val="24"/>
                <w:lang w:val="en-US" w:eastAsia="zh-CN"/>
              </w:rPr>
              <w:t>第二档，质量保证措施与工作进度安排不完善，不能保证项目进度和质量的，得0-3分。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continue"/>
            <w:tcBorders/>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tc>
        <w:tc>
          <w:tcPr>
            <w:tcW w:w="1168"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sz w:val="22"/>
                <w:szCs w:val="22"/>
                <w:lang w:val="en-US" w:eastAsia="zh-CN"/>
              </w:rPr>
            </w:pPr>
            <w:r>
              <w:rPr>
                <w:rFonts w:hint="eastAsia" w:ascii="宋体" w:hAnsi="宋体"/>
                <w:b/>
                <w:sz w:val="22"/>
                <w:szCs w:val="22"/>
                <w:lang w:val="en-US" w:eastAsia="zh-CN"/>
              </w:rPr>
              <w:t>应急预案与服务承诺</w:t>
            </w:r>
          </w:p>
        </w:tc>
        <w:tc>
          <w:tcPr>
            <w:tcW w:w="1214"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default" w:ascii="宋体" w:hAnsi="宋体"/>
                <w:b/>
                <w:color w:val="auto"/>
                <w:szCs w:val="24"/>
                <w:lang w:val="en-US" w:eastAsia="zh-CN"/>
              </w:rPr>
            </w:pPr>
            <w:r>
              <w:rPr>
                <w:rFonts w:hint="eastAsia" w:ascii="宋体" w:hAnsi="宋体"/>
                <w:b/>
                <w:color w:val="auto"/>
                <w:szCs w:val="24"/>
                <w:lang w:val="en-US" w:eastAsia="zh-CN"/>
              </w:rPr>
              <w:t>10</w:t>
            </w:r>
            <w:bookmarkStart w:id="0" w:name="_GoBack"/>
            <w:bookmarkEnd w:id="0"/>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left"/>
              <w:textAlignment w:val="baseline"/>
              <w:outlineLvl w:val="9"/>
            </w:pPr>
            <w:r>
              <w:rPr>
                <w:rFonts w:hint="eastAsia"/>
                <w:lang w:val="en-US" w:eastAsia="zh-CN"/>
              </w:rPr>
              <w:t>根据供应商提供的应急预案与服务承诺优劣进行比较：</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baseline"/>
              <w:rPr>
                <w:rFonts w:hint="eastAsia" w:ascii="宋体" w:hAnsi="宋体" w:cs="宋体"/>
                <w:sz w:val="24"/>
                <w:szCs w:val="24"/>
                <w:lang w:val="en-US" w:eastAsia="zh-CN"/>
              </w:rPr>
            </w:pPr>
            <w:r>
              <w:rPr>
                <w:rFonts w:hint="eastAsia" w:ascii="宋体" w:hAnsi="宋体" w:eastAsia="宋体" w:cs="宋体"/>
                <w:sz w:val="24"/>
                <w:szCs w:val="24"/>
              </w:rPr>
              <w:t>第一档，</w:t>
            </w:r>
            <w:r>
              <w:rPr>
                <w:rFonts w:hint="eastAsia" w:ascii="宋体" w:hAnsi="宋体" w:cs="宋体"/>
                <w:sz w:val="24"/>
                <w:szCs w:val="24"/>
                <w:lang w:val="en-US" w:eastAsia="zh-CN"/>
              </w:rPr>
              <w:t>应急预案考虑充分，处置妥当，服务承诺优于其他供应商的，得7-10分；</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baseline"/>
              <w:rPr>
                <w:rFonts w:hint="eastAsia" w:ascii="宋体" w:hAnsi="宋体" w:cs="宋体"/>
                <w:sz w:val="24"/>
                <w:szCs w:val="24"/>
                <w:lang w:val="en-US" w:eastAsia="zh-CN"/>
              </w:rPr>
            </w:pPr>
            <w:r>
              <w:rPr>
                <w:rFonts w:hint="eastAsia" w:ascii="宋体" w:hAnsi="宋体" w:cs="宋体"/>
                <w:sz w:val="24"/>
                <w:szCs w:val="24"/>
                <w:lang w:val="en-US" w:eastAsia="zh-CN"/>
              </w:rPr>
              <w:t>第二档，</w:t>
            </w:r>
            <w:r>
              <w:rPr>
                <w:rFonts w:hint="eastAsia"/>
                <w:lang w:val="en-US" w:eastAsia="zh-CN"/>
              </w:rPr>
              <w:t>应急预案考虑较充分</w:t>
            </w:r>
            <w:r>
              <w:rPr>
                <w:rFonts w:hint="eastAsia" w:ascii="宋体" w:hAnsi="宋体" w:cs="宋体"/>
                <w:sz w:val="24"/>
                <w:szCs w:val="24"/>
                <w:lang w:val="en-US" w:eastAsia="zh-CN"/>
              </w:rPr>
              <w:t>，处置欠妥，服务承诺一般的，得3.5-6.5分；</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0" w:firstLineChars="0"/>
              <w:textAlignment w:val="baseline"/>
              <w:rPr>
                <w:rFonts w:hint="default" w:ascii="宋体" w:hAnsi="宋体" w:cs="宋体"/>
                <w:sz w:val="24"/>
                <w:szCs w:val="24"/>
                <w:lang w:val="en-US" w:eastAsia="zh-CN"/>
              </w:rPr>
            </w:pPr>
            <w:r>
              <w:rPr>
                <w:rFonts w:hint="eastAsia" w:ascii="宋体" w:hAnsi="宋体" w:cs="宋体"/>
                <w:sz w:val="24"/>
                <w:szCs w:val="24"/>
                <w:lang w:val="en-US" w:eastAsia="zh-CN"/>
              </w:rPr>
              <w:t>第三档，应急预案考虑不充分，服务承诺较差的，得0-3分。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28" w:type="dxa"/>
            <w:vMerge w:val="continue"/>
            <w:tcBorders/>
            <w:vAlign w:val="center"/>
          </w:tcPr>
          <w:p>
            <w:pPr>
              <w:spacing w:line="400" w:lineRule="exact"/>
              <w:jc w:val="center"/>
              <w:rPr>
                <w:rFonts w:ascii="宋体" w:hAnsi="宋体"/>
                <w:b/>
                <w:szCs w:val="24"/>
              </w:rPr>
            </w:pPr>
          </w:p>
        </w:tc>
        <w:tc>
          <w:tcPr>
            <w:tcW w:w="1168" w:type="dxa"/>
            <w:vAlign w:val="center"/>
          </w:tcPr>
          <w:p>
            <w:pPr>
              <w:spacing w:line="400" w:lineRule="exact"/>
              <w:jc w:val="center"/>
              <w:rPr>
                <w:rFonts w:ascii="宋体" w:hAnsi="宋体"/>
                <w:b/>
                <w:szCs w:val="24"/>
              </w:rPr>
            </w:pPr>
            <w:r>
              <w:rPr>
                <w:rFonts w:hint="eastAsia" w:ascii="宋体" w:hAnsi="宋体"/>
                <w:b/>
                <w:sz w:val="22"/>
                <w:szCs w:val="22"/>
                <w:lang w:val="en-US" w:eastAsia="zh-CN"/>
              </w:rPr>
              <w:t>运维</w:t>
            </w:r>
            <w:r>
              <w:rPr>
                <w:rFonts w:hint="eastAsia" w:ascii="宋体" w:hAnsi="宋体"/>
                <w:b/>
                <w:sz w:val="22"/>
                <w:szCs w:val="22"/>
                <w:lang w:eastAsia="zh-CN"/>
              </w:rPr>
              <w:t>团队</w:t>
            </w:r>
          </w:p>
        </w:tc>
        <w:tc>
          <w:tcPr>
            <w:tcW w:w="1214" w:type="dxa"/>
            <w:vAlign w:val="center"/>
          </w:tcPr>
          <w:p>
            <w:pPr>
              <w:spacing w:line="400" w:lineRule="exact"/>
              <w:jc w:val="center"/>
              <w:rPr>
                <w:rFonts w:hint="default" w:ascii="宋体" w:hAnsi="宋体" w:eastAsia="宋体"/>
                <w:b/>
                <w:szCs w:val="24"/>
                <w:lang w:val="en-US" w:eastAsia="zh-CN"/>
              </w:rPr>
            </w:pPr>
            <w:r>
              <w:rPr>
                <w:rFonts w:hint="eastAsia" w:ascii="宋体" w:hAnsi="宋体" w:eastAsia="宋体" w:cs="Times New Roman"/>
                <w:b/>
                <w:szCs w:val="24"/>
                <w:lang w:val="en-US" w:eastAsia="zh-CN"/>
              </w:rPr>
              <w:t>1</w:t>
            </w:r>
            <w:r>
              <w:rPr>
                <w:rFonts w:hint="eastAsia" w:ascii="宋体" w:hAnsi="宋体" w:cs="Times New Roman"/>
                <w:b/>
                <w:szCs w:val="24"/>
                <w:lang w:val="en-US" w:eastAsia="zh-CN"/>
              </w:rPr>
              <w:t>0</w:t>
            </w:r>
          </w:p>
        </w:tc>
        <w:tc>
          <w:tcPr>
            <w:tcW w:w="5420" w:type="dxa"/>
            <w:vAlign w:val="center"/>
          </w:tcPr>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根据供应商提供的项目实施团队的组织结构和人员配备优劣进行比较：</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第一档，组织机构完善、合理，专业经验丰富，符合项目特点的，得</w:t>
            </w:r>
            <w:r>
              <w:rPr>
                <w:rFonts w:hint="eastAsia" w:ascii="宋体" w:hAnsi="宋体" w:cs="宋体"/>
                <w:sz w:val="24"/>
                <w:szCs w:val="24"/>
                <w:lang w:val="en-US" w:eastAsia="zh-CN"/>
              </w:rPr>
              <w:t>7-10</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第二档，组织机构较为合理，专业经验较丰富，基本符合项目特点的，得</w:t>
            </w:r>
            <w:r>
              <w:rPr>
                <w:rFonts w:hint="eastAsia" w:ascii="宋体" w:hAnsi="宋体" w:cs="宋体"/>
                <w:sz w:val="24"/>
                <w:szCs w:val="24"/>
                <w:lang w:val="en-US" w:eastAsia="zh-CN"/>
              </w:rPr>
              <w:t>3.5-6.5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val="0"/>
              <w:snapToGrid/>
              <w:spacing w:line="560" w:lineRule="exact"/>
              <w:ind w:firstLine="0" w:firstLineChars="0"/>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第三档，组织人员构成基本合理，专业性经验欠缺或低于其他供应商的，得</w:t>
            </w:r>
            <w:r>
              <w:rPr>
                <w:rFonts w:hint="eastAsia" w:ascii="宋体" w:hAnsi="宋体" w:cs="宋体"/>
                <w:sz w:val="24"/>
                <w:szCs w:val="24"/>
                <w:lang w:val="en-US" w:eastAsia="zh-CN"/>
              </w:rPr>
              <w:t>0-3</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596"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1214"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keepNext w:val="0"/>
              <w:keepLines w:val="0"/>
              <w:pageBreakBefore w:val="0"/>
              <w:widowControl w:val="0"/>
              <w:kinsoku/>
              <w:wordWrap/>
              <w:overflowPunct/>
              <w:topLinePunct w:val="0"/>
              <w:autoSpaceDE/>
              <w:autoSpaceDN/>
              <w:bidi w:val="0"/>
              <w:adjustRightInd w:val="0"/>
              <w:snapToGrid/>
              <w:spacing w:line="56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分档打分的，同档次打分最小分值差为0.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hmYzdlOTYxNTlmYjVlNTE2NWFjMzc4YWFkOGQifQ=="/>
  </w:docVars>
  <w:rsids>
    <w:rsidRoot w:val="146133E2"/>
    <w:rsid w:val="033F0ED1"/>
    <w:rsid w:val="11682642"/>
    <w:rsid w:val="146133E2"/>
    <w:rsid w:val="1A436859"/>
    <w:rsid w:val="1E2303FE"/>
    <w:rsid w:val="2864430A"/>
    <w:rsid w:val="362C2C8F"/>
    <w:rsid w:val="49F11D61"/>
    <w:rsid w:val="4C0F65D8"/>
    <w:rsid w:val="5CB3349F"/>
    <w:rsid w:val="5F195B9B"/>
    <w:rsid w:val="6E3517C9"/>
    <w:rsid w:val="71C2570C"/>
    <w:rsid w:val="7748201D"/>
    <w:rsid w:val="7A12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adjustRightInd w:val="0"/>
      <w:spacing w:line="360" w:lineRule="atLeast"/>
      <w:ind w:firstLine="420"/>
      <w:textAlignment w:val="baseline"/>
    </w:pPr>
    <w:rPr>
      <w:kern w:val="0"/>
      <w:sz w:val="25"/>
      <w:szCs w:val="20"/>
    </w:rPr>
  </w:style>
  <w:style w:type="paragraph" w:styleId="3">
    <w:name w:val="Body Text First Indent"/>
    <w:basedOn w:val="4"/>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4">
    <w:name w:val="Body Text"/>
    <w:basedOn w:val="1"/>
    <w:next w:val="5"/>
    <w:qFormat/>
    <w:uiPriority w:val="0"/>
    <w:pPr>
      <w:spacing w:after="120"/>
    </w:pPr>
  </w:style>
  <w:style w:type="paragraph" w:styleId="5">
    <w:name w:val="toc 2"/>
    <w:basedOn w:val="1"/>
    <w:next w:val="1"/>
    <w:qFormat/>
    <w:uiPriority w:val="0"/>
    <w:pPr>
      <w:tabs>
        <w:tab w:val="right" w:leader="dot" w:pos="8280"/>
      </w:tabs>
      <w:ind w:right="47" w:rightChars="47"/>
    </w:pPr>
  </w:style>
  <w:style w:type="paragraph" w:styleId="6">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643</Words>
  <Characters>696</Characters>
  <Lines>0</Lines>
  <Paragraphs>0</Paragraphs>
  <TotalTime>3</TotalTime>
  <ScaleCrop>false</ScaleCrop>
  <LinksUpToDate>false</LinksUpToDate>
  <CharactersWithSpaces>696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2023-06-09T02:13:00Z</dcterms:created>
  <dc:creator>关关</dc:creator>
  <cp:lastModifiedBy>关关</cp:lastModifiedBy>
  <cp:lastPrinted>2023-06-09T02:28:00Z</cp:lastPrinted>
  <dcterms:modified xsi:type="dcterms:W3CDTF">2023-06-12T03:10:24Z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A10806C6155943CFAB378E17166623C2_13</vt:lpwstr>
  </property>
</Properties>
</file>