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/>
        </w:rPr>
        <w:t>附件三</w:t>
      </w:r>
    </w:p>
    <w:p>
      <w:pPr>
        <w:adjustRightIn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/>
        </w:rPr>
        <w:t>河北博物院南区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/>
        </w:rPr>
        <w:t>一楼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/>
        </w:rPr>
        <w:t>办公室加装供暖设备工程项目</w:t>
      </w: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pPr w:leftFromText="180" w:rightFromText="180" w:vertAnchor="text" w:horzAnchor="margin" w:tblpXSpec="center" w:tblpY="148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13"/>
        <w:gridCol w:w="689"/>
        <w:gridCol w:w="4262"/>
        <w:gridCol w:w="114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10" w:type="dxa"/>
            <w:vAlign w:val="center"/>
          </w:tcPr>
          <w:p>
            <w:pPr>
              <w:pStyle w:val="3"/>
              <w:rPr>
                <w:rFonts w:hint="eastAsia" w:ascii="华文中宋" w:hAnsi="华文中宋" w:eastAsia="华文中宋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</w:rPr>
              <w:t>序</w:t>
            </w: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713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ascii="华文中宋" w:hAnsi="华文中宋" w:eastAsia="华文中宋" w:cs="宋体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</w:rPr>
              <w:t>项目</w:t>
            </w:r>
          </w:p>
        </w:tc>
        <w:tc>
          <w:tcPr>
            <w:tcW w:w="68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华文中宋" w:hAnsi="华文中宋" w:eastAsia="华文中宋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</w:rPr>
              <w:t>分</w:t>
            </w: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ascii="华文中宋" w:hAnsi="华文中宋" w:eastAsia="华文中宋" w:cs="宋体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</w:rPr>
              <w:t>评分标准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ascii="华文中宋" w:hAnsi="华文中宋" w:eastAsia="华文中宋" w:cs="宋体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</w:rPr>
              <w:t>得分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华文中宋" w:hAnsi="华文中宋" w:eastAsia="华文中宋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投标报价</w:t>
            </w:r>
          </w:p>
        </w:tc>
        <w:tc>
          <w:tcPr>
            <w:tcW w:w="689" w:type="dxa"/>
            <w:vAlign w:val="center"/>
          </w:tcPr>
          <w:p>
            <w:pPr>
              <w:pStyle w:val="13"/>
              <w:spacing w:line="276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30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所有供应商有效</w:t>
            </w:r>
            <w:r>
              <w:rPr>
                <w:rFonts w:hint="eastAsia" w:cs="宋体"/>
                <w:szCs w:val="21"/>
                <w:lang w:eastAsia="zh-CN"/>
              </w:rPr>
              <w:t>最后</w:t>
            </w:r>
            <w:r>
              <w:rPr>
                <w:rFonts w:hint="eastAsia" w:ascii="宋体" w:hAnsi="宋体" w:cs="宋体"/>
                <w:szCs w:val="21"/>
              </w:rPr>
              <w:t>报价中的最低值为基准价，与基准价一致的得标准分</w:t>
            </w:r>
            <w:r>
              <w:rPr>
                <w:rFonts w:hint="eastAsia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0分，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其它供应商磋商报价得分=（磋商基准价/最后磋商报价）×</w:t>
            </w:r>
            <w:r>
              <w:rPr>
                <w:rFonts w:hint="eastAsia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100%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0-30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施工方案及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主要技术措施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科学先进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top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top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一般可行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3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施工进度计划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及保证措施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科学先进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一般可行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质量目标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保证措施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措施完善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措施一般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安全生产、文明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施工措施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措施完善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措施一般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6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环境保护管理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体系与措施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科学先进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一般可行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7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主要施工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设备使用计划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科学先进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一般可行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项目组织机构</w:t>
            </w:r>
          </w:p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人员构成情况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配备完善合理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配备一般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9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劳动力安排计划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科学先进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8.0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比较完善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一般可行</w:t>
            </w:r>
          </w:p>
        </w:tc>
        <w:tc>
          <w:tcPr>
            <w:tcW w:w="114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2.0</w:t>
            </w:r>
          </w:p>
        </w:tc>
        <w:tc>
          <w:tcPr>
            <w:tcW w:w="1109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服务承诺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承诺明确、具体，质保期长；保证措施完善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5.0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rPr>
                <w:rFonts w:ascii="华文中宋" w:hAnsi="华文中宋" w:eastAsia="华文中宋" w:cs="宋体"/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承诺较明确、具体；保证措施较完善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.0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3"/>
              <w:spacing w:line="276" w:lineRule="auto"/>
              <w:rPr>
                <w:rFonts w:ascii="华文中宋" w:hAnsi="华文中宋" w:eastAsia="华文中宋" w:cs="宋体"/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3"/>
              <w:spacing w:line="276" w:lineRule="auto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262" w:type="dxa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承诺及保证措施一般</w:t>
            </w: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1.0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10" w:type="dxa"/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近三年业绩</w:t>
            </w:r>
          </w:p>
        </w:tc>
        <w:tc>
          <w:tcPr>
            <w:tcW w:w="689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供应商提供近三年内同类项目的合同扫描件。每提交1个得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分，此项最高得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分。无类似业绩不得分。</w:t>
            </w:r>
          </w:p>
        </w:tc>
        <w:tc>
          <w:tcPr>
            <w:tcW w:w="1149" w:type="dxa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689" w:type="dxa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100分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spacing w:line="288" w:lineRule="auto"/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注：1、每项内容只允许打一次分，超出时打分无效，计零分。2、缺项计零分。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277A7C"/>
    <w:rsid w:val="01E63109"/>
    <w:rsid w:val="044449DE"/>
    <w:rsid w:val="06DE0669"/>
    <w:rsid w:val="0A5F19D4"/>
    <w:rsid w:val="0BD31944"/>
    <w:rsid w:val="0E670283"/>
    <w:rsid w:val="1291261C"/>
    <w:rsid w:val="14E0123A"/>
    <w:rsid w:val="16A811FE"/>
    <w:rsid w:val="17CF7BF7"/>
    <w:rsid w:val="17FE187A"/>
    <w:rsid w:val="18DEBD86"/>
    <w:rsid w:val="198B3FF6"/>
    <w:rsid w:val="1CF84072"/>
    <w:rsid w:val="1FFF726F"/>
    <w:rsid w:val="20DE1FCF"/>
    <w:rsid w:val="21A861E3"/>
    <w:rsid w:val="226517C5"/>
    <w:rsid w:val="23D575A0"/>
    <w:rsid w:val="24A866B2"/>
    <w:rsid w:val="24C23BFE"/>
    <w:rsid w:val="26885D29"/>
    <w:rsid w:val="28070699"/>
    <w:rsid w:val="28FE12EF"/>
    <w:rsid w:val="2BD3DE04"/>
    <w:rsid w:val="2E045217"/>
    <w:rsid w:val="2EFEA6E7"/>
    <w:rsid w:val="2F6F1EAC"/>
    <w:rsid w:val="2FFA527E"/>
    <w:rsid w:val="328A5B17"/>
    <w:rsid w:val="33EEFBC9"/>
    <w:rsid w:val="35FBBD2E"/>
    <w:rsid w:val="36DCF04B"/>
    <w:rsid w:val="37BD08A3"/>
    <w:rsid w:val="37CD2516"/>
    <w:rsid w:val="37F9BB85"/>
    <w:rsid w:val="38CF3948"/>
    <w:rsid w:val="3B2E5CEB"/>
    <w:rsid w:val="3C8A357A"/>
    <w:rsid w:val="3D7B19FB"/>
    <w:rsid w:val="3DBFCC8A"/>
    <w:rsid w:val="3F5DE99A"/>
    <w:rsid w:val="3FB369F4"/>
    <w:rsid w:val="406F27E0"/>
    <w:rsid w:val="41164838"/>
    <w:rsid w:val="41826444"/>
    <w:rsid w:val="44E26E32"/>
    <w:rsid w:val="47D67D00"/>
    <w:rsid w:val="47DD26AD"/>
    <w:rsid w:val="48C11705"/>
    <w:rsid w:val="49E6166C"/>
    <w:rsid w:val="4C9D6071"/>
    <w:rsid w:val="4CD04143"/>
    <w:rsid w:val="4D84170A"/>
    <w:rsid w:val="4E333295"/>
    <w:rsid w:val="51927B45"/>
    <w:rsid w:val="52643FA2"/>
    <w:rsid w:val="53047E9B"/>
    <w:rsid w:val="535E4114"/>
    <w:rsid w:val="55FA0951"/>
    <w:rsid w:val="56EFA4C1"/>
    <w:rsid w:val="56F7BE77"/>
    <w:rsid w:val="57682D9F"/>
    <w:rsid w:val="5B8E09CA"/>
    <w:rsid w:val="5D1B787E"/>
    <w:rsid w:val="5D7B3EF1"/>
    <w:rsid w:val="5DBAA36F"/>
    <w:rsid w:val="5DE53A3A"/>
    <w:rsid w:val="5E375DDA"/>
    <w:rsid w:val="5E454415"/>
    <w:rsid w:val="5F1C38A9"/>
    <w:rsid w:val="5F9F78A4"/>
    <w:rsid w:val="5FF58FA8"/>
    <w:rsid w:val="5FF7FB96"/>
    <w:rsid w:val="5FFDC9C6"/>
    <w:rsid w:val="6258550E"/>
    <w:rsid w:val="65BE1992"/>
    <w:rsid w:val="67325DFA"/>
    <w:rsid w:val="69AE2548"/>
    <w:rsid w:val="69D83714"/>
    <w:rsid w:val="6B1B6445"/>
    <w:rsid w:val="6D650B11"/>
    <w:rsid w:val="6D74344C"/>
    <w:rsid w:val="6DF386FB"/>
    <w:rsid w:val="6ED7302E"/>
    <w:rsid w:val="6F7608C2"/>
    <w:rsid w:val="6F7A1313"/>
    <w:rsid w:val="6FEB6CF6"/>
    <w:rsid w:val="72D20803"/>
    <w:rsid w:val="73B7E3E8"/>
    <w:rsid w:val="7767933B"/>
    <w:rsid w:val="777D2D6D"/>
    <w:rsid w:val="77DF0B03"/>
    <w:rsid w:val="77DFFF27"/>
    <w:rsid w:val="77E48995"/>
    <w:rsid w:val="79ABD371"/>
    <w:rsid w:val="7B325231"/>
    <w:rsid w:val="7B3F1505"/>
    <w:rsid w:val="7BB847FB"/>
    <w:rsid w:val="7BBFB5B0"/>
    <w:rsid w:val="7BFFE8DA"/>
    <w:rsid w:val="7C6C7EA1"/>
    <w:rsid w:val="7CF646E1"/>
    <w:rsid w:val="7CFB2978"/>
    <w:rsid w:val="7D6853C6"/>
    <w:rsid w:val="7D7BCB7D"/>
    <w:rsid w:val="7D972205"/>
    <w:rsid w:val="7DEF5849"/>
    <w:rsid w:val="7E6EC7A4"/>
    <w:rsid w:val="7EBBE110"/>
    <w:rsid w:val="7EFDB657"/>
    <w:rsid w:val="7F2F3E8F"/>
    <w:rsid w:val="7F3F0A3A"/>
    <w:rsid w:val="7F6AA601"/>
    <w:rsid w:val="7FB9790F"/>
    <w:rsid w:val="7FBB46FD"/>
    <w:rsid w:val="7FCB6FE6"/>
    <w:rsid w:val="7FDE3158"/>
    <w:rsid w:val="7FF7924C"/>
    <w:rsid w:val="7FFB9648"/>
    <w:rsid w:val="7FFE9B72"/>
    <w:rsid w:val="7FFFD1A0"/>
    <w:rsid w:val="87FF9DD7"/>
    <w:rsid w:val="8FF5B9CF"/>
    <w:rsid w:val="95FFDD51"/>
    <w:rsid w:val="99FC6037"/>
    <w:rsid w:val="9DAF7815"/>
    <w:rsid w:val="9EFFB1B5"/>
    <w:rsid w:val="AEFDF00C"/>
    <w:rsid w:val="AFE6CE3B"/>
    <w:rsid w:val="B56F568E"/>
    <w:rsid w:val="B7FD6F1B"/>
    <w:rsid w:val="BACF3B45"/>
    <w:rsid w:val="BBAC43D6"/>
    <w:rsid w:val="BC7F539B"/>
    <w:rsid w:val="BDCEB230"/>
    <w:rsid w:val="BDD733AE"/>
    <w:rsid w:val="BFAC0CAE"/>
    <w:rsid w:val="BFDD6165"/>
    <w:rsid w:val="BFFFFDC2"/>
    <w:rsid w:val="C777645D"/>
    <w:rsid w:val="CA0F35AD"/>
    <w:rsid w:val="D7F71098"/>
    <w:rsid w:val="DAF97B7B"/>
    <w:rsid w:val="DC17C16E"/>
    <w:rsid w:val="DF79DA7D"/>
    <w:rsid w:val="DFBDA481"/>
    <w:rsid w:val="DFCFFDA1"/>
    <w:rsid w:val="E17CF7A4"/>
    <w:rsid w:val="E79ADDF7"/>
    <w:rsid w:val="E7F33E24"/>
    <w:rsid w:val="EADF54D6"/>
    <w:rsid w:val="EBFFB9C9"/>
    <w:rsid w:val="EC873A4E"/>
    <w:rsid w:val="ED1F586E"/>
    <w:rsid w:val="EDB979B3"/>
    <w:rsid w:val="EEBB942E"/>
    <w:rsid w:val="F7BFCD82"/>
    <w:rsid w:val="F9FF0ED7"/>
    <w:rsid w:val="FB33C7F8"/>
    <w:rsid w:val="FB3B2BAC"/>
    <w:rsid w:val="FBFB11F9"/>
    <w:rsid w:val="FE252A89"/>
    <w:rsid w:val="FEBE03CF"/>
    <w:rsid w:val="FEE38E21"/>
    <w:rsid w:val="FF3E76CF"/>
    <w:rsid w:val="FF5DFF3C"/>
    <w:rsid w:val="FF738620"/>
    <w:rsid w:val="FFAB943D"/>
    <w:rsid w:val="FFAF26B0"/>
    <w:rsid w:val="FFEFA80E"/>
    <w:rsid w:val="FFFB5880"/>
    <w:rsid w:val="FFFC8F29"/>
    <w:rsid w:val="FFFE2943"/>
    <w:rsid w:val="FF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First Indent 2"/>
    <w:basedOn w:val="6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6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bjh-p"/>
    <w:qFormat/>
    <w:uiPriority w:val="0"/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859</Characters>
  <Lines>0</Lines>
  <Paragraphs>0</Paragraphs>
  <TotalTime>15</TotalTime>
  <ScaleCrop>false</ScaleCrop>
  <LinksUpToDate>false</LinksUpToDate>
  <CharactersWithSpaces>862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2021-05-01T22:26:00Z</dcterms:created>
  <dc:creator>沈义</dc:creator>
  <cp:lastModifiedBy>uos</cp:lastModifiedBy>
  <cp:lastPrinted>2021-10-17T00:25:00Z</cp:lastPrinted>
  <dcterms:modified xsi:type="dcterms:W3CDTF">2024-03-20T10:17:07Z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1AA49EA9222D4A3FBDACE9DE8DE0A132_13</vt:lpwstr>
  </property>
</Properties>
</file>