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-17"/>
          <w:sz w:val="32"/>
          <w:szCs w:val="32"/>
        </w:rPr>
      </w:pPr>
      <w:r>
        <w:rPr>
          <w:rFonts w:hint="eastAsia" w:ascii="宋体" w:hAnsi="宋体" w:eastAsia="宋体" w:cs="宋体"/>
          <w:b/>
          <w:bCs/>
          <w:spacing w:val="-17"/>
          <w:sz w:val="32"/>
          <w:szCs w:val="32"/>
        </w:rPr>
        <w:t>河北博物院《战国雄风——中山国历史文化研究》图书制作项目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/>
        <w:spacing w:line="360" w:lineRule="exact"/>
        <w:jc w:val="center"/>
        <w:textAlignment w:val="baseline"/>
        <w:rPr>
          <w:rFonts w:hint="eastAsia" w:ascii="宋体" w:hAnsi="宋体" w:eastAsia="宋体" w:cs="宋体"/>
          <w:b/>
          <w:bCs/>
          <w:spacing w:val="-17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b/>
          <w:bCs/>
          <w:spacing w:val="-17"/>
          <w:sz w:val="32"/>
          <w:szCs w:val="32"/>
        </w:rPr>
        <w:t>评审标准</w:t>
      </w:r>
    </w:p>
    <w:tbl>
      <w:tblPr>
        <w:tblStyle w:val="12"/>
        <w:tblW w:w="9230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28"/>
        <w:gridCol w:w="1429"/>
        <w:gridCol w:w="953"/>
        <w:gridCol w:w="542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tblHeader/>
          <w:jc w:val="center"/>
        </w:trPr>
        <w:tc>
          <w:tcPr>
            <w:tcW w:w="1428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类别</w:t>
            </w:r>
          </w:p>
        </w:tc>
        <w:tc>
          <w:tcPr>
            <w:tcW w:w="1429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评审项目</w:t>
            </w:r>
          </w:p>
        </w:tc>
        <w:tc>
          <w:tcPr>
            <w:tcW w:w="953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pacing w:val="-8"/>
                <w:szCs w:val="24"/>
              </w:rPr>
            </w:pPr>
            <w:r>
              <w:rPr>
                <w:rFonts w:hint="eastAsia" w:ascii="宋体" w:hAnsi="宋体"/>
                <w:b/>
                <w:spacing w:val="-8"/>
                <w:szCs w:val="24"/>
              </w:rPr>
              <w:t>标准分</w:t>
            </w:r>
          </w:p>
        </w:tc>
        <w:tc>
          <w:tcPr>
            <w:tcW w:w="542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428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 w:eastAsia="宋体"/>
                <w:b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Cs w:val="24"/>
              </w:rPr>
              <w:t>报价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 w:eastAsia="宋体"/>
                <w:b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Cs w:val="24"/>
                <w:lang w:eastAsia="zh-CN"/>
              </w:rPr>
              <w:t>（共</w:t>
            </w: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25分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）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报价分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default" w:ascii="宋体" w:hAnsi="宋体" w:eastAsia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25</w:t>
            </w:r>
          </w:p>
        </w:tc>
        <w:tc>
          <w:tcPr>
            <w:tcW w:w="5420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  <w:rPr>
                <w:rFonts w:hint="default" w:ascii="宋体" w:hAnsi="宋体" w:eastAsia="宋体"/>
                <w:szCs w:val="24"/>
                <w:lang w:val="en-US" w:eastAsia="zh-CN"/>
              </w:rPr>
            </w:pPr>
            <w:r>
              <w:rPr>
                <w:rFonts w:hint="default" w:ascii="宋体" w:hAnsi="宋体" w:eastAsia="宋体"/>
                <w:szCs w:val="24"/>
                <w:lang w:val="en-US" w:eastAsia="zh-CN"/>
              </w:rPr>
              <w:t>投标人报价得分＝（有效最低投标报价／该投标人报价）×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25</w:t>
            </w:r>
            <w:r>
              <w:rPr>
                <w:rFonts w:hint="default" w:ascii="宋体" w:hAnsi="宋体" w:eastAsia="宋体"/>
                <w:szCs w:val="24"/>
                <w:lang w:val="en-US" w:eastAsia="zh-CN"/>
              </w:rPr>
              <w:t>（保留1位小数点，第2位四舍五入，下同）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1" w:hRule="atLeast"/>
          <w:jc w:val="center"/>
        </w:trPr>
        <w:tc>
          <w:tcPr>
            <w:tcW w:w="14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 w:eastAsia="宋体"/>
                <w:b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商务</w:t>
            </w:r>
            <w:r>
              <w:rPr>
                <w:rFonts w:hint="eastAsia" w:ascii="宋体" w:hAnsi="宋体"/>
                <w:b/>
                <w:szCs w:val="24"/>
              </w:rPr>
              <w:t>部分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  <w:lang w:eastAsia="zh-CN"/>
              </w:rPr>
              <w:t>（共</w:t>
            </w: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25分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）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商务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要求</w:t>
            </w:r>
            <w:r>
              <w:rPr>
                <w:rFonts w:hint="eastAsia" w:ascii="宋体" w:hAnsi="宋体"/>
                <w:b/>
                <w:szCs w:val="24"/>
              </w:rPr>
              <w:t>响应情况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15</w:t>
            </w:r>
          </w:p>
        </w:tc>
        <w:tc>
          <w:tcPr>
            <w:tcW w:w="5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对供应商的商务要求响应程度进行综合比较评价：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第一档，响应全面，描述完备、细致，完全满足且部分优于采购需求的，得15分；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第二档，响应较全面、细致，满足采购需求的，得10分；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第三档，基本响应采购需求，但有缺陷或部分一般指标不满足需求的，得5分。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6" w:hRule="atLeast"/>
          <w:jc w:val="center"/>
        </w:trPr>
        <w:tc>
          <w:tcPr>
            <w:tcW w:w="14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同类业绩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default" w:ascii="宋体" w:hAnsi="宋体" w:eastAsia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5</w:t>
            </w:r>
          </w:p>
        </w:tc>
        <w:tc>
          <w:tcPr>
            <w:tcW w:w="5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</w:pPr>
            <w:r>
              <w:rPr>
                <w:rFonts w:hint="eastAsia"/>
              </w:rPr>
              <w:t>供应商提供近</w:t>
            </w:r>
            <w:r>
              <w:rPr>
                <w:rFonts w:hint="eastAsia"/>
                <w:lang w:val="en-US" w:eastAsia="zh-CN"/>
              </w:rPr>
              <w:t>3</w:t>
            </w:r>
            <w:r>
              <w:rPr>
                <w:rFonts w:hint="eastAsia"/>
              </w:rPr>
              <w:t>年内同类图书出版案例的合同扫描件。每提交1个得</w:t>
            </w:r>
            <w:r>
              <w:rPr>
                <w:rFonts w:hint="eastAsia"/>
                <w:lang w:val="en-US" w:eastAsia="zh-CN"/>
              </w:rPr>
              <w:t>1</w:t>
            </w:r>
            <w:r>
              <w:rPr>
                <w:rFonts w:hint="eastAsia"/>
              </w:rPr>
              <w:t>分，此项最高得</w:t>
            </w:r>
            <w:r>
              <w:rPr>
                <w:rFonts w:hint="eastAsia"/>
                <w:lang w:val="en-US" w:eastAsia="zh-CN"/>
              </w:rPr>
              <w:t>5</w:t>
            </w:r>
            <w:r>
              <w:rPr>
                <w:rFonts w:hint="eastAsia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4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售后服务及体系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default" w:ascii="宋体" w:hAnsi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5</w:t>
            </w:r>
          </w:p>
        </w:tc>
        <w:tc>
          <w:tcPr>
            <w:tcW w:w="5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  <w:lang w:eastAsia="zh-CN"/>
              </w:rPr>
              <w:t>对供应商</w:t>
            </w:r>
            <w:r>
              <w:rPr>
                <w:rFonts w:ascii="宋体" w:hAnsi="宋体"/>
                <w:szCs w:val="24"/>
              </w:rPr>
              <w:t>的售后服务</w:t>
            </w:r>
            <w:r>
              <w:rPr>
                <w:rFonts w:hint="eastAsia" w:ascii="宋体" w:hAnsi="宋体"/>
                <w:szCs w:val="24"/>
              </w:rPr>
              <w:t>、技术支持</w:t>
            </w:r>
            <w:r>
              <w:rPr>
                <w:rFonts w:ascii="宋体" w:hAnsi="宋体"/>
                <w:szCs w:val="24"/>
              </w:rPr>
              <w:t>能力与承诺</w:t>
            </w:r>
            <w:r>
              <w:rPr>
                <w:rFonts w:hint="eastAsia" w:ascii="宋体" w:hAnsi="宋体"/>
                <w:szCs w:val="24"/>
              </w:rPr>
              <w:t>优劣进行综合比较评价：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第一档，售后服务保障体系及措施完善，技术支持能力强，服务</w:t>
            </w:r>
            <w:r>
              <w:rPr>
                <w:rFonts w:ascii="宋体" w:hAnsi="宋体"/>
                <w:szCs w:val="24"/>
              </w:rPr>
              <w:t>响应快，</w:t>
            </w:r>
            <w:r>
              <w:rPr>
                <w:rFonts w:hint="eastAsia" w:ascii="宋体" w:hAnsi="宋体"/>
                <w:szCs w:val="24"/>
              </w:rPr>
              <w:t>响应程度高或优于采购需求的，得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4"/>
              </w:rPr>
              <w:t>分</w:t>
            </w:r>
            <w:r>
              <w:rPr>
                <w:rFonts w:ascii="宋体" w:hAnsi="宋体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  <w:rPr>
                <w:rFonts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第二档，售后服务保障体系及多措施较好，技术支持能力较强，服务响应较快，满足采购需求</w:t>
            </w:r>
            <w:r>
              <w:rPr>
                <w:rFonts w:hint="eastAsia" w:ascii="宋体" w:hAnsi="宋体"/>
                <w:szCs w:val="24"/>
                <w:lang w:eastAsia="zh-CN"/>
              </w:rPr>
              <w:t>的</w:t>
            </w:r>
            <w:r>
              <w:rPr>
                <w:rFonts w:hint="eastAsia" w:ascii="宋体" w:hAnsi="宋体"/>
                <w:szCs w:val="24"/>
              </w:rPr>
              <w:t>，得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3</w:t>
            </w:r>
            <w:r>
              <w:rPr>
                <w:rFonts w:hint="eastAsia" w:ascii="宋体" w:hAnsi="宋体"/>
                <w:szCs w:val="24"/>
              </w:rPr>
              <w:t>分</w:t>
            </w:r>
            <w:r>
              <w:rPr>
                <w:rFonts w:ascii="宋体" w:hAnsi="宋体"/>
                <w:szCs w:val="24"/>
              </w:rPr>
              <w:t>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</w:rPr>
            </w:pPr>
            <w:r>
              <w:rPr>
                <w:rFonts w:hint="eastAsia" w:ascii="宋体" w:hAnsi="宋体"/>
                <w:szCs w:val="24"/>
              </w:rPr>
              <w:t>第三档，售后服务保障体系及措施基本符合招标要求，但技术支持能力和服务响应速度较差或一般</w:t>
            </w:r>
            <w:r>
              <w:rPr>
                <w:rFonts w:hint="eastAsia" w:ascii="宋体" w:hAnsi="宋体"/>
                <w:szCs w:val="24"/>
                <w:lang w:eastAsia="zh-CN"/>
              </w:rPr>
              <w:t>的</w:t>
            </w:r>
            <w:r>
              <w:rPr>
                <w:rFonts w:ascii="宋体" w:hAnsi="宋体"/>
                <w:szCs w:val="24"/>
              </w:rPr>
              <w:t>，</w:t>
            </w:r>
            <w:r>
              <w:rPr>
                <w:rFonts w:hint="eastAsia" w:ascii="宋体" w:hAnsi="宋体"/>
                <w:szCs w:val="24"/>
              </w:rPr>
              <w:t>得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428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/>
                <w:b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/>
                <w:b/>
                <w:szCs w:val="24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技术部分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（共50分）</w:t>
            </w: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 w:eastAsia="宋体"/>
                <w:b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Cs w:val="24"/>
              </w:rPr>
              <w:t>技术</w:t>
            </w:r>
            <w:r>
              <w:rPr>
                <w:rFonts w:hint="eastAsia" w:ascii="宋体" w:hAnsi="宋体"/>
                <w:b/>
                <w:szCs w:val="24"/>
                <w:lang w:eastAsia="zh-CN"/>
              </w:rPr>
              <w:t>参数</w:t>
            </w:r>
            <w:r>
              <w:rPr>
                <w:rFonts w:hint="eastAsia" w:ascii="宋体" w:hAnsi="宋体"/>
                <w:b/>
                <w:szCs w:val="24"/>
              </w:rPr>
              <w:t>响应情况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default" w:ascii="宋体" w:hAnsi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15</w:t>
            </w:r>
          </w:p>
        </w:tc>
        <w:tc>
          <w:tcPr>
            <w:tcW w:w="5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</w:rPr>
              <w:t>对</w:t>
            </w:r>
            <w:r>
              <w:rPr>
                <w:rFonts w:hint="eastAsia" w:ascii="宋体" w:hAnsi="宋体"/>
                <w:szCs w:val="24"/>
                <w:lang w:eastAsia="zh-CN"/>
              </w:rPr>
              <w:t>供应商的技术参数</w:t>
            </w:r>
            <w:r>
              <w:rPr>
                <w:rFonts w:hint="eastAsia" w:ascii="宋体" w:hAnsi="宋体"/>
                <w:szCs w:val="24"/>
              </w:rPr>
              <w:t>响应程度进行综合比较评价：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  <w:lang w:eastAsia="zh-CN"/>
              </w:rPr>
              <w:t>第一档，</w:t>
            </w:r>
            <w:r>
              <w:rPr>
                <w:rFonts w:hint="eastAsia" w:ascii="宋体" w:hAnsi="宋体"/>
                <w:szCs w:val="24"/>
              </w:rPr>
              <w:t>图书制作技术精湛，配套服务完善，排版设计新颖有内涵，印刷装帧精致优良，能优化呈现图书项目内容，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1</w:t>
            </w:r>
            <w:r>
              <w:rPr>
                <w:rFonts w:hint="eastAsia" w:ascii="宋体" w:hAnsi="宋体"/>
                <w:szCs w:val="24"/>
              </w:rPr>
              <w:t>5分；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/>
                <w:szCs w:val="24"/>
              </w:rPr>
            </w:pPr>
            <w:r>
              <w:rPr>
                <w:rFonts w:hint="eastAsia" w:ascii="宋体" w:hAnsi="宋体"/>
                <w:szCs w:val="24"/>
                <w:lang w:eastAsia="zh-CN"/>
              </w:rPr>
              <w:t>第二档，</w:t>
            </w:r>
            <w:r>
              <w:rPr>
                <w:rFonts w:hint="eastAsia" w:ascii="宋体" w:hAnsi="宋体"/>
                <w:szCs w:val="24"/>
              </w:rPr>
              <w:t>图书设计制作能合理完整的表达项目内容，基本服务完备，满足询价要求，10分；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szCs w:val="24"/>
                <w:lang w:eastAsia="zh-CN"/>
              </w:rPr>
              <w:t>第三档，</w:t>
            </w:r>
            <w:r>
              <w:rPr>
                <w:rFonts w:hint="eastAsia" w:ascii="宋体" w:hAnsi="宋体"/>
                <w:szCs w:val="24"/>
              </w:rPr>
              <w:t>图书设计制作基本符合相关标准和规范，在服务要求方面欠缺，</w:t>
            </w:r>
            <w:r>
              <w:rPr>
                <w:rFonts w:hint="eastAsia" w:ascii="宋体" w:hAnsi="宋体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/>
                <w:szCs w:val="24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4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/>
                <w:b/>
                <w:szCs w:val="24"/>
                <w:lang w:val="en-US" w:eastAsia="zh-CN"/>
              </w:rPr>
            </w:pP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eastAsia="zh-CN"/>
              </w:rPr>
              <w:t>实施方案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default" w:ascii="宋体" w:hAnsi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15</w:t>
            </w:r>
          </w:p>
        </w:tc>
        <w:tc>
          <w:tcPr>
            <w:tcW w:w="5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left"/>
              <w:textAlignment w:val="baseline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对供应商提供的项目实施方案进行评价：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left"/>
              <w:textAlignment w:val="baseline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第一档，项目实施方案安排科学、保障措施完善有力的，得15分；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left"/>
              <w:textAlignment w:val="baseline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第二档，项目实施方案安排较科学、保障措施较完善有力的，得10分；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left"/>
              <w:textAlignment w:val="baseline"/>
              <w:outlineLvl w:val="9"/>
              <w:rPr>
                <w:rFonts w:hint="eastAsia"/>
                <w:lang w:val="en-US" w:eastAsia="zh-CN"/>
              </w:rPr>
            </w:pPr>
            <w:r>
              <w:rPr>
                <w:rFonts w:hint="eastAsia"/>
                <w:lang w:val="en-US" w:eastAsia="zh-CN"/>
              </w:rPr>
              <w:t>第三档，项目实施方案安排一般、保障措施一般的，得5分。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2" w:hRule="atLeast"/>
          <w:jc w:val="center"/>
        </w:trPr>
        <w:tc>
          <w:tcPr>
            <w:tcW w:w="1428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ascii="宋体" w:hAnsi="宋体"/>
                <w:b/>
                <w:szCs w:val="24"/>
              </w:rPr>
            </w:pPr>
          </w:p>
        </w:tc>
        <w:tc>
          <w:tcPr>
            <w:tcW w:w="1429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eastAsia" w:ascii="宋体" w:hAnsi="宋体"/>
                <w:b/>
                <w:szCs w:val="24"/>
                <w:lang w:eastAsia="zh-CN"/>
              </w:rPr>
            </w:pPr>
            <w:r>
              <w:rPr>
                <w:rFonts w:hint="eastAsia" w:ascii="宋体" w:hAnsi="宋体"/>
                <w:b/>
                <w:szCs w:val="24"/>
                <w:lang w:eastAsia="zh-CN"/>
              </w:rPr>
              <w:t>项目实施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  <w:lang w:eastAsia="zh-CN"/>
              </w:rPr>
              <w:t>团队</w:t>
            </w: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配置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hint="default" w:ascii="宋体" w:hAnsi="宋体" w:eastAsia="宋体"/>
                <w:b/>
                <w:szCs w:val="24"/>
                <w:lang w:val="en-US" w:eastAsia="zh-CN"/>
              </w:rPr>
            </w:pPr>
            <w:r>
              <w:rPr>
                <w:rFonts w:hint="eastAsia" w:ascii="宋体" w:hAnsi="宋体"/>
                <w:b/>
                <w:szCs w:val="24"/>
                <w:lang w:val="en-US" w:eastAsia="zh-CN"/>
              </w:rPr>
              <w:t>20</w:t>
            </w:r>
          </w:p>
        </w:tc>
        <w:tc>
          <w:tcPr>
            <w:tcW w:w="5420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cs="宋体"/>
                <w:szCs w:val="24"/>
                <w:lang w:eastAsia="zh-CN"/>
              </w:rPr>
              <w:t>对</w:t>
            </w:r>
            <w:r>
              <w:rPr>
                <w:rFonts w:hint="eastAsia" w:ascii="宋体" w:hAnsi="宋体" w:eastAsia="宋体" w:cs="宋体"/>
                <w:szCs w:val="24"/>
              </w:rPr>
              <w:t>供应商提供的项目实施团队的组织结构和人员配备优劣进行比较：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第一档，组织机构完善、合理，团队人员专业性强、经验丰富，符合项目特点的，得20分；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第二档，组织机构较为完善，团队人员专业性较强、经验较丰富，基本符合项目特点的，得15分；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48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Cs w:val="24"/>
              </w:rPr>
            </w:pPr>
            <w:r>
              <w:rPr>
                <w:rFonts w:hint="eastAsia" w:ascii="宋体" w:hAnsi="宋体" w:eastAsia="宋体" w:cs="宋体"/>
                <w:szCs w:val="24"/>
              </w:rPr>
              <w:t>第三档，组织人员构成基本合理、专业性欠缺或低于其他供应商的，得10分。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jc w:val="center"/>
        </w:trPr>
        <w:tc>
          <w:tcPr>
            <w:tcW w:w="2857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合计</w:t>
            </w:r>
          </w:p>
        </w:tc>
        <w:tc>
          <w:tcPr>
            <w:tcW w:w="9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jc w:val="center"/>
              <w:textAlignment w:val="baseline"/>
              <w:rPr>
                <w:rFonts w:ascii="宋体" w:hAnsi="宋体"/>
                <w:b/>
                <w:szCs w:val="24"/>
              </w:rPr>
            </w:pPr>
            <w:r>
              <w:rPr>
                <w:rFonts w:hint="eastAsia" w:ascii="宋体" w:hAnsi="宋体"/>
                <w:b/>
                <w:szCs w:val="24"/>
              </w:rPr>
              <w:t>100</w:t>
            </w:r>
          </w:p>
        </w:tc>
        <w:tc>
          <w:tcPr>
            <w:tcW w:w="5420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 w:val="0"/>
              <w:snapToGrid/>
              <w:spacing w:line="380" w:lineRule="exact"/>
              <w:ind w:firstLine="240" w:firstLineChars="100"/>
              <w:jc w:val="both"/>
              <w:textAlignment w:val="baseline"/>
              <w:rPr>
                <w:rFonts w:hint="eastAsia" w:ascii="宋体" w:hAnsi="宋体" w:eastAsia="宋体" w:cs="宋体"/>
                <w:szCs w:val="24"/>
                <w:lang w:eastAsia="zh-CN"/>
              </w:rPr>
            </w:pPr>
            <w:bookmarkStart w:id="0" w:name="_GoBack"/>
            <w:bookmarkEnd w:id="0"/>
          </w:p>
        </w:tc>
      </w:tr>
    </w:tbl>
    <w:p>
      <w:pPr>
        <w:pStyle w:val="11"/>
        <w:ind w:left="0" w:leftChars="0" w:firstLine="0" w:firstLineChars="0"/>
      </w:pPr>
    </w:p>
    <w:sectPr>
      <w:footerReference r:id="rId5" w:type="default"/>
      <w:pgSz w:w="11906" w:h="16838"/>
      <w:pgMar w:top="1803" w:right="1440" w:bottom="1803" w:left="1440" w:header="851" w:footer="992" w:gutter="0"/>
      <w:cols w:space="0" w:num="1"/>
      <w:rtlGutter w:val="0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altName w:val="DejaVu Sans"/>
    <w:panose1 w:val="02020603050405020304"/>
    <w:charset w:val="01"/>
    <w:family w:val="auto"/>
    <w:pitch w:val="default"/>
    <w:sig w:usb0="00000000" w:usb1="00000000" w:usb2="00000009" w:usb3="00000000" w:csb0="400001FF" w:csb1="FFFF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_GB2312">
    <w:altName w:val="方正仿宋_GBK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_GB2312">
    <w:altName w:val="方正仿宋_GBK"/>
    <w:panose1 w:val="02010609030101010101"/>
    <w:charset w:val="00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true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false" anchor="t" anchorCtr="false" forceAA="false" upright="false" compatLnSpc="true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false"/>
  <w:bordersDoNotSurroundFooter w:val="false"/>
  <w:documentProtection w:enforcement="0"/>
  <w:defaultTabStop w:val="420"/>
  <w:drawingGridVerticalSpacing w:val="156"/>
  <w:displayHorizontalDrawingGridEvery w:val="1"/>
  <w:displayVerticalDrawingGridEvery w:val="1"/>
  <w:noPunctuationKerning w:val="true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1NjhmYzdlOTYxNTlmYjVlNTE2NWFjMzc4YWFkOGQifQ=="/>
  </w:docVars>
  <w:rsids>
    <w:rsidRoot w:val="47DD26AD"/>
    <w:rsid w:val="01E63109"/>
    <w:rsid w:val="0401564F"/>
    <w:rsid w:val="06DE0669"/>
    <w:rsid w:val="0AE76117"/>
    <w:rsid w:val="0B9B177B"/>
    <w:rsid w:val="0C2B7C14"/>
    <w:rsid w:val="0F3F07CA"/>
    <w:rsid w:val="0F8331B8"/>
    <w:rsid w:val="104414A1"/>
    <w:rsid w:val="108F2B3B"/>
    <w:rsid w:val="118B5827"/>
    <w:rsid w:val="1291261C"/>
    <w:rsid w:val="135859D1"/>
    <w:rsid w:val="136A56A9"/>
    <w:rsid w:val="18E83A79"/>
    <w:rsid w:val="198B3FF6"/>
    <w:rsid w:val="1A562BE6"/>
    <w:rsid w:val="1A984EC8"/>
    <w:rsid w:val="1B9F1A5D"/>
    <w:rsid w:val="1CDC3403"/>
    <w:rsid w:val="1CF2FE4E"/>
    <w:rsid w:val="1CF84072"/>
    <w:rsid w:val="1F297C9A"/>
    <w:rsid w:val="1FAE57BF"/>
    <w:rsid w:val="20DE1FCF"/>
    <w:rsid w:val="23D575A0"/>
    <w:rsid w:val="24A866B2"/>
    <w:rsid w:val="24C23BFE"/>
    <w:rsid w:val="26F038A3"/>
    <w:rsid w:val="281E4A9B"/>
    <w:rsid w:val="2B571592"/>
    <w:rsid w:val="2B8E6033"/>
    <w:rsid w:val="2E84758C"/>
    <w:rsid w:val="2FEE6956"/>
    <w:rsid w:val="31317992"/>
    <w:rsid w:val="328A5B17"/>
    <w:rsid w:val="355A6C8B"/>
    <w:rsid w:val="356A46F3"/>
    <w:rsid w:val="36172D33"/>
    <w:rsid w:val="361F7EE6"/>
    <w:rsid w:val="37CD2516"/>
    <w:rsid w:val="37FC4610"/>
    <w:rsid w:val="3AC90D96"/>
    <w:rsid w:val="3D952558"/>
    <w:rsid w:val="3FB369F4"/>
    <w:rsid w:val="41826444"/>
    <w:rsid w:val="41B73964"/>
    <w:rsid w:val="41E01599"/>
    <w:rsid w:val="42B21D85"/>
    <w:rsid w:val="43307C55"/>
    <w:rsid w:val="44E26E32"/>
    <w:rsid w:val="45C539BA"/>
    <w:rsid w:val="47160C22"/>
    <w:rsid w:val="47DD26AD"/>
    <w:rsid w:val="4AA85572"/>
    <w:rsid w:val="4CD46CC7"/>
    <w:rsid w:val="52643FA2"/>
    <w:rsid w:val="53047E9B"/>
    <w:rsid w:val="5402361B"/>
    <w:rsid w:val="55FA0951"/>
    <w:rsid w:val="572D4DC0"/>
    <w:rsid w:val="57682D9F"/>
    <w:rsid w:val="57960827"/>
    <w:rsid w:val="57FA3179"/>
    <w:rsid w:val="5A1046F3"/>
    <w:rsid w:val="5A24297F"/>
    <w:rsid w:val="5BC3069D"/>
    <w:rsid w:val="5D766A2B"/>
    <w:rsid w:val="5D7B3EF1"/>
    <w:rsid w:val="5DE53A3A"/>
    <w:rsid w:val="5DEFB79B"/>
    <w:rsid w:val="5E7FF6CF"/>
    <w:rsid w:val="5EFF0C38"/>
    <w:rsid w:val="5F963B6A"/>
    <w:rsid w:val="5FEB577C"/>
    <w:rsid w:val="62943612"/>
    <w:rsid w:val="62E0640F"/>
    <w:rsid w:val="63FF56C7"/>
    <w:rsid w:val="65BE1992"/>
    <w:rsid w:val="68BD2E33"/>
    <w:rsid w:val="69154FF6"/>
    <w:rsid w:val="691A5978"/>
    <w:rsid w:val="69D83714"/>
    <w:rsid w:val="6D1A22D9"/>
    <w:rsid w:val="6F7A1313"/>
    <w:rsid w:val="704F5BCD"/>
    <w:rsid w:val="72D20803"/>
    <w:rsid w:val="75FD5565"/>
    <w:rsid w:val="7697FD68"/>
    <w:rsid w:val="78C31B17"/>
    <w:rsid w:val="79110806"/>
    <w:rsid w:val="7B325231"/>
    <w:rsid w:val="7BB6FEB2"/>
    <w:rsid w:val="7C77ED30"/>
    <w:rsid w:val="7CFE2B8F"/>
    <w:rsid w:val="7D0D1C34"/>
    <w:rsid w:val="7DA65CFB"/>
    <w:rsid w:val="7DFF3CB7"/>
    <w:rsid w:val="7DFF9AE8"/>
    <w:rsid w:val="7EFF48D7"/>
    <w:rsid w:val="7FBB46FD"/>
    <w:rsid w:val="7FDA3AEF"/>
    <w:rsid w:val="7FFE8E51"/>
    <w:rsid w:val="9EEE85EF"/>
    <w:rsid w:val="A3658046"/>
    <w:rsid w:val="AFEFC894"/>
    <w:rsid w:val="B0D9C35C"/>
    <w:rsid w:val="B9FF0675"/>
    <w:rsid w:val="BDBB03E7"/>
    <w:rsid w:val="BDE3C557"/>
    <w:rsid w:val="BEC7C288"/>
    <w:rsid w:val="BFFB1DD8"/>
    <w:rsid w:val="D76EC1C1"/>
    <w:rsid w:val="EE5FD01C"/>
    <w:rsid w:val="F57BF3E4"/>
    <w:rsid w:val="F97BF56B"/>
    <w:rsid w:val="FAFEB670"/>
    <w:rsid w:val="FC37DF5E"/>
    <w:rsid w:val="FDFD1DB7"/>
    <w:rsid w:val="FEBDA05C"/>
    <w:rsid w:val="FED95F25"/>
    <w:rsid w:val="FF7381D8"/>
    <w:rsid w:val="FFDAE1C5"/>
    <w:rsid w:val="FFFA60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character" w:default="1" w:styleId="13">
    <w:name w:val="Default Paragraph Font"/>
    <w:semiHidden/>
    <w:qFormat/>
    <w:uiPriority w:val="0"/>
  </w:style>
  <w:style w:type="table" w:default="1" w:styleId="1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customStyle="1" w:styleId="3">
    <w:name w:val="_Style 2"/>
    <w:basedOn w:val="1"/>
    <w:next w:val="1"/>
    <w:qFormat/>
    <w:uiPriority w:val="0"/>
    <w:pPr>
      <w:ind w:firstLine="420" w:firstLineChars="200"/>
    </w:pPr>
  </w:style>
  <w:style w:type="paragraph" w:styleId="4">
    <w:name w:val="annotation text"/>
    <w:basedOn w:val="1"/>
    <w:qFormat/>
    <w:uiPriority w:val="0"/>
    <w:pPr>
      <w:jc w:val="left"/>
    </w:pPr>
  </w:style>
  <w:style w:type="paragraph" w:styleId="5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toc 2"/>
    <w:basedOn w:val="1"/>
    <w:next w:val="1"/>
    <w:qFormat/>
    <w:uiPriority w:val="0"/>
    <w:pPr>
      <w:tabs>
        <w:tab w:val="right" w:leader="dot" w:pos="8280"/>
      </w:tabs>
      <w:ind w:right="47" w:rightChars="47"/>
    </w:pPr>
  </w:style>
  <w:style w:type="paragraph" w:styleId="9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paragraph" w:styleId="10">
    <w:name w:val="Body Text First Indent"/>
    <w:basedOn w:val="2"/>
    <w:qFormat/>
    <w:uiPriority w:val="0"/>
    <w:pPr>
      <w:spacing w:line="560" w:lineRule="exact"/>
      <w:ind w:leftChars="300" w:firstLine="880" w:firstLineChars="200"/>
      <w:jc w:val="left"/>
    </w:pPr>
    <w:rPr>
      <w:rFonts w:ascii="仿宋_GB2312" w:hAnsi="仿宋_GB2312" w:eastAsia="仿宋_GB2312" w:cs="Times New Roman"/>
      <w:sz w:val="32"/>
      <w:szCs w:val="24"/>
      <w:lang w:val="zh-CN" w:bidi="zh-CN"/>
    </w:rPr>
  </w:style>
  <w:style w:type="paragraph" w:styleId="11">
    <w:name w:val="Body Text First Indent 2"/>
    <w:basedOn w:val="5"/>
    <w:next w:val="1"/>
    <w:qFormat/>
    <w:uiPriority w:val="0"/>
    <w:pPr>
      <w:keepNext/>
      <w:keepLines/>
      <w:spacing w:after="0" w:line="560" w:lineRule="exact"/>
      <w:ind w:left="0" w:leftChars="0" w:firstLine="480"/>
      <w:jc w:val="left"/>
      <w:outlineLvl w:val="3"/>
    </w:pPr>
    <w:rPr>
      <w:rFonts w:ascii="Times New Roman" w:hAnsi="Times New Roman" w:eastAsia="仿宋_GB2312" w:cs="Times New Roman"/>
      <w:bCs/>
      <w:sz w:val="32"/>
      <w:szCs w:val="28"/>
    </w:rPr>
  </w:style>
  <w:style w:type="character" w:customStyle="1" w:styleId="14">
    <w:name w:val="bjh-p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976</Words>
  <Characters>1047</Characters>
  <Lines>0</Lines>
  <Paragraphs>0</Paragraphs>
  <TotalTime>0</TotalTime>
  <ScaleCrop>false</ScaleCrop>
  <LinksUpToDate>false</LinksUpToDate>
  <CharactersWithSpaces>1048</CharactersWithSpaces>
  <Application>WPS Office_11.8.2.10337_F1E327BC-269C-435d-A152-05C5408002CA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2021-04-28T06:26:00Z</dcterms:created>
  <dc:creator>沈义</dc:creator>
  <cp:lastModifiedBy>uos</cp:lastModifiedBy>
  <cp:lastPrinted>2021-05-23T03:16:00Z</cp:lastPrinted>
  <dcterms:modified xsi:type="dcterms:W3CDTF">2024-03-29T18:18:18Z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2052-11.8.2.10337</vt:lpwstr>
  </property>
  <property fmtid="{D5CDD505-2E9C-101B-9397-08002B2CF9AE}" pid="3" name="ICV">
    <vt:lpwstr>A80B1CF83BCD4D22BBFE78859F3D4E17_13</vt:lpwstr>
  </property>
</Properties>
</file>