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13"/>
        <w:gridCol w:w="6951"/>
        <w:gridCol w:w="868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</w:rPr>
              <w:t>评分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</w:rPr>
              <w:t>因素</w:t>
            </w:r>
          </w:p>
        </w:tc>
        <w:tc>
          <w:tcPr>
            <w:tcW w:w="6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</w:rPr>
              <w:t>评审标准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一、报价评审（</w:t>
            </w: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eastAsia="zh-Hans"/>
              </w:rPr>
              <w:t>20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</w:rPr>
              <w:t>价格</w:t>
            </w:r>
          </w:p>
        </w:tc>
        <w:tc>
          <w:tcPr>
            <w:tcW w:w="695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价格分采用最低价优先计算的方法，即满足磋商文件要求的最低价为评标基准价，其得分为满分。其他供应商的报价得分按照下列公式计算（小数点保留两位）：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投标报价得分</w:t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t>=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（评标基准价／投标报价）</w:t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t>×20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二、技术评审（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t>2.1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  <w:highlight w:val="none"/>
                <w:lang w:val="en-US"/>
              </w:rPr>
              <w:t>进度计划和保证措施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根据供应商提供的进度计划和进度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保证措施综合评分。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进度计划合理、保证措施完善的得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进度计划合理、保证措施较完善的得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进度计划基本合理、保证措施基本完善或缺失的得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未提供不得分。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t>2.2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  <w:highlight w:val="none"/>
                <w:lang w:val="en-US"/>
              </w:rPr>
              <w:t>实施的重点、难点和解决方案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根据供应商提供的实施重点、难点和解决方案综合评分。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重点、难点分析准确，解决方案合理、可行，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考虑全面、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具有针对性的得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重点、难点分析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较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准确，解决方案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较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合理、可行，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考虑较全面、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具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一定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针对性的得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重点、难点分析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较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准确，解决方案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欠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合理，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考虑全面性欠缺，针对性欠缺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的得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未提供不得分。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t>2.3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  <w:highlight w:val="none"/>
                <w:lang w:val="en-US"/>
              </w:rPr>
              <w:t>设备投入计划及其</w:t>
            </w: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保障</w:t>
            </w: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  <w:highlight w:val="none"/>
                <w:lang w:val="en-US"/>
              </w:rPr>
              <w:t>措施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根据供应商提供的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文物扫描设备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投入计划及其保证措施综合评分。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投入计划与进度计划呼应，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设备能完全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满足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项目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需要，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保障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措施全面、完善的得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5分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投入计划与进度计划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较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呼应，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设备较先进、成熟，能基本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满足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项目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需要，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保障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措施较全面、完善的的得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编制简单、无法全面反映具体设备投入，措施不全面、不完善的得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eastAsia="zh-Hans"/>
              </w:rPr>
              <w:t>1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分；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Hans"/>
              </w:rPr>
              <w:t>未提供不得分。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t>2.4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质量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保障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/>
              </w:rPr>
              <w:t>措施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根据供应商提供的质量保证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体系及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措施综合评分。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服务质量承诺优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质量保障体系及措施完善，科学合理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服务质量承诺较好，质量保障体系及措施较科学合理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7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服务质量承诺一般，质量保障体系及措施一般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的得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未提供不得分。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shd w:val="clear" w:fill="FFFFFF" w:themeFill="background1"/>
                <w:lang w:val="en-US" w:eastAsia="zh-CN"/>
              </w:rPr>
              <w:t>应急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shd w:val="clear" w:fill="FFFFFF" w:themeFill="background1"/>
                <w:lang w:val="en-US" w:eastAsia="zh-Hans"/>
              </w:rPr>
              <w:t>预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案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供应商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针对本项目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结合自身经验，提出的在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实施过程中可能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预见的影响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项目实施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的问题分析或其他可能发生的事项以及解决办法综合评分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考虑全面、解决办法科学、高效，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针对性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强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的得</w:t>
            </w:r>
            <w:r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考虑全面、解决办法科学、高效，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针对性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较强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的得</w:t>
            </w:r>
            <w:r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7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考虑较全面、解决办法欠科学，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针对性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欠缺的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未提供不得分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。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、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商务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评审（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.1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售后服务方案</w:t>
            </w:r>
          </w:p>
        </w:tc>
        <w:tc>
          <w:tcPr>
            <w:tcW w:w="695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Hans"/>
              </w:rPr>
              <w:t>根据供应商提供的免费质保期内的服务方案综合评分，方案包含：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免费售后服务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Hans"/>
              </w:rPr>
              <w:t>的内容和时间；出现质量问题的响应力度、响应时间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Hans"/>
              </w:rPr>
              <w:t>质量标准；售后人员的投入；质保的范围；技术培训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Hans"/>
              </w:rPr>
              <w:t>以及供应商提供的其他质保服务内容或承诺。</w:t>
            </w:r>
          </w:p>
          <w:p>
            <w:pPr>
              <w:spacing w:line="360" w:lineRule="auto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方案全面、完善，服务标准高，内容合理、可行、可信度高的得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分；</w:t>
            </w:r>
          </w:p>
          <w:p>
            <w:pPr>
              <w:spacing w:line="360" w:lineRule="auto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方案较全面、较完善，服务标准较高，内容较合理、可行、可信度较高的得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分；</w:t>
            </w:r>
          </w:p>
          <w:p>
            <w:pPr>
              <w:spacing w:line="360" w:lineRule="auto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方案较全面、较完善，服务标准较高或不明确，内容基本合理、可行、可信度不高的得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分；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未提供不得分。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3.2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人员配置</w:t>
            </w:r>
          </w:p>
        </w:tc>
        <w:tc>
          <w:tcPr>
            <w:tcW w:w="695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根据供应商提供的服务于本项目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Hans"/>
              </w:rPr>
              <w:t>的专业技术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人员配置评分。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组织管理机构完善、合理，团队人员构成专业性强、经验丰富符合项目特点的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pStyle w:val="2"/>
              <w:jc w:val="both"/>
              <w:rPr>
                <w:rFonts w:hint="eastAsia" w:ascii="宋体" w:hAnsi="宋体" w:eastAsia="宋体" w:cstheme="minorBidi"/>
                <w:b w:val="0"/>
                <w:color w:val="auto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color w:val="auto"/>
                <w:sz w:val="21"/>
                <w:szCs w:val="21"/>
                <w:highlight w:val="none"/>
                <w:lang w:val="zh-CN" w:eastAsia="zh-CN" w:bidi="ar-SA"/>
              </w:rPr>
              <w:t>组织管理机构健全、合理，团队人员构成和专业性较好，相关经验较丰富，符合项目需求的，得1</w:t>
            </w:r>
            <w:r>
              <w:rPr>
                <w:rFonts w:hint="eastAsia" w:ascii="宋体" w:hAnsi="宋体" w:eastAsia="宋体" w:cstheme="minorBidi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theme="minorBidi"/>
                <w:b w:val="0"/>
                <w:color w:val="auto"/>
                <w:sz w:val="21"/>
                <w:szCs w:val="21"/>
                <w:highlight w:val="none"/>
                <w:lang w:val="zh-CN" w:eastAsia="zh-CN" w:bidi="ar-SA"/>
              </w:rPr>
              <w:t>分；</w:t>
            </w:r>
          </w:p>
          <w:p>
            <w:pPr>
              <w:pStyle w:val="2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theme="minorBidi"/>
                <w:b w:val="0"/>
                <w:color w:val="auto"/>
                <w:sz w:val="21"/>
                <w:szCs w:val="21"/>
                <w:highlight w:val="none"/>
                <w:lang w:val="zh-CN" w:eastAsia="zh-CN" w:bidi="ar-SA"/>
              </w:rPr>
              <w:t>组织</w:t>
            </w:r>
            <w:r>
              <w:rPr>
                <w:rFonts w:hint="eastAsia" w:ascii="宋体" w:hAnsi="宋体" w:eastAsia="宋体" w:cstheme="minorBidi"/>
                <w:b w:val="0"/>
                <w:color w:val="auto"/>
                <w:sz w:val="21"/>
                <w:szCs w:val="21"/>
                <w:highlight w:val="none"/>
                <w:lang w:val="zh-CN" w:eastAsia="zh-CN" w:bidi="ar-SA"/>
              </w:rPr>
              <w:t>管理机构和人员构成基本合理，专业性和相关经验有欠缺或低于其他档次供应商，得9分；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Hans"/>
              </w:rPr>
              <w:t>未提供者不得分。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Hans"/>
              </w:rPr>
              <w:t>总分</w:t>
            </w:r>
          </w:p>
        </w:tc>
        <w:tc>
          <w:tcPr>
            <w:tcW w:w="695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instrText xml:space="preserve"> =SUM(ABOVE) \* MERGEFORMAT </w:instrText>
            </w: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t>100</w:t>
            </w: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ZDc0NGM3ZDVhODUwNzU2NmM0ODNkZDRkMjQ3YjQifQ=="/>
  </w:docVars>
  <w:rsids>
    <w:rsidRoot w:val="2CE43D62"/>
    <w:rsid w:val="0E317CD8"/>
    <w:rsid w:val="172E154E"/>
    <w:rsid w:val="1AC75042"/>
    <w:rsid w:val="1D74086E"/>
    <w:rsid w:val="2CE43D62"/>
    <w:rsid w:val="2D4034A6"/>
    <w:rsid w:val="33EC194A"/>
    <w:rsid w:val="39B822CE"/>
    <w:rsid w:val="41597EF3"/>
    <w:rsid w:val="4F351F9F"/>
    <w:rsid w:val="52ED493F"/>
    <w:rsid w:val="59FA74E8"/>
    <w:rsid w:val="6328774E"/>
    <w:rsid w:val="64B11C70"/>
    <w:rsid w:val="668D2269"/>
    <w:rsid w:val="67922F56"/>
    <w:rsid w:val="6B39082B"/>
    <w:rsid w:val="6BD46B1B"/>
    <w:rsid w:val="75E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Calibri" w:cstheme="minorBidi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420" w:lineRule="exact"/>
      <w:jc w:val="center"/>
    </w:pPr>
    <w:rPr>
      <w:rFonts w:ascii="Times New Roman" w:hAnsi="Times New Roman" w:eastAsia="黑体"/>
      <w:b/>
      <w:sz w:val="2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2024-02-27T04:41:00Z</dcterms:created>
  <dc:creator>Boss猫</dc:creator>
  <cp:lastModifiedBy>houqian</cp:lastModifiedBy>
  <dcterms:modified xsi:type="dcterms:W3CDTF">2024-04-08T09:22:58Z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A3411CB5DED44757B7243DE6F27BBE2C_13</vt:lpwstr>
  </property>
</Properties>
</file>