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113"/>
        <w:gridCol w:w="6951"/>
        <w:gridCol w:w="868"/>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spacing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序号</w:t>
            </w:r>
          </w:p>
        </w:tc>
        <w:tc>
          <w:tcPr>
            <w:tcW w:w="1113" w:type="dxa"/>
            <w:vAlign w:val="center"/>
          </w:tcPr>
          <w:p>
            <w:pPr>
              <w:spacing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评分</w:t>
            </w:r>
          </w:p>
          <w:p>
            <w:pPr>
              <w:spacing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因素</w:t>
            </w:r>
          </w:p>
        </w:tc>
        <w:tc>
          <w:tcPr>
            <w:tcW w:w="6951" w:type="dxa"/>
            <w:vAlign w:val="center"/>
          </w:tcPr>
          <w:p>
            <w:pPr>
              <w:spacing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评审标准</w:t>
            </w:r>
          </w:p>
        </w:tc>
        <w:tc>
          <w:tcPr>
            <w:tcW w:w="868" w:type="dxa"/>
            <w:vAlign w:val="center"/>
          </w:tcPr>
          <w:p>
            <w:pPr>
              <w:spacing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分值</w:t>
            </w:r>
          </w:p>
        </w:tc>
        <w:tc>
          <w:tcPr>
            <w:tcW w:w="868" w:type="dxa"/>
            <w:vAlign w:val="center"/>
          </w:tcPr>
          <w:p>
            <w:pPr>
              <w:spacing w:line="360" w:lineRule="auto"/>
              <w:jc w:val="center"/>
              <w:rPr>
                <w:rFonts w:ascii="宋体" w:hAnsi="宋体" w:eastAsia="宋体"/>
                <w:b/>
                <w:color w:val="auto"/>
                <w:sz w:val="21"/>
                <w:szCs w:val="21"/>
                <w:highlight w:val="none"/>
                <w:lang w:val="en-US" w:eastAsia="zh-Hans"/>
              </w:rPr>
            </w:pPr>
            <w:r>
              <w:rPr>
                <w:rFonts w:hint="eastAsia" w:ascii="宋体" w:hAnsi="宋体" w:eastAsia="宋体"/>
                <w:b/>
                <w:color w:val="auto"/>
                <w:sz w:val="21"/>
                <w:szCs w:val="21"/>
                <w:highlight w:val="no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2" w:type="dxa"/>
            <w:gridSpan w:val="5"/>
            <w:vAlign w:val="center"/>
          </w:tcPr>
          <w:p>
            <w:pPr>
              <w:spacing w:line="360" w:lineRule="auto"/>
              <w:jc w:val="center"/>
              <w:rPr>
                <w:rFonts w:ascii="宋体" w:hAnsi="宋体" w:eastAsia="宋体"/>
                <w:b/>
                <w:color w:val="auto"/>
                <w:sz w:val="21"/>
                <w:szCs w:val="21"/>
                <w:highlight w:val="none"/>
                <w:lang w:val="en-US" w:eastAsia="zh-Hans"/>
              </w:rPr>
            </w:pPr>
            <w:r>
              <w:rPr>
                <w:rFonts w:hint="eastAsia" w:ascii="宋体" w:hAnsi="宋体" w:eastAsia="宋体"/>
                <w:b/>
                <w:color w:val="auto"/>
                <w:sz w:val="21"/>
                <w:szCs w:val="21"/>
                <w:highlight w:val="none"/>
                <w:lang w:val="en-US" w:eastAsia="zh-Hans"/>
              </w:rPr>
              <w:t>一、报价评审（</w:t>
            </w:r>
            <w:r>
              <w:rPr>
                <w:rFonts w:ascii="宋体" w:hAnsi="宋体" w:eastAsia="宋体"/>
                <w:b/>
                <w:color w:val="auto"/>
                <w:sz w:val="21"/>
                <w:szCs w:val="21"/>
                <w:highlight w:val="none"/>
                <w:lang w:eastAsia="zh-Hans"/>
              </w:rPr>
              <w:t>20</w:t>
            </w:r>
            <w:r>
              <w:rPr>
                <w:rFonts w:hint="eastAsia" w:ascii="宋体" w:hAnsi="宋体" w:eastAsia="宋体"/>
                <w:b/>
                <w:color w:val="auto"/>
                <w:sz w:val="21"/>
                <w:szCs w:val="21"/>
                <w:highlight w:val="none"/>
                <w:lang w:val="en-US"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spacing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c>
          <w:tcPr>
            <w:tcW w:w="1113" w:type="dxa"/>
            <w:vAlign w:val="center"/>
          </w:tcPr>
          <w:p>
            <w:pPr>
              <w:spacing w:line="360" w:lineRule="auto"/>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报价单</w:t>
            </w:r>
          </w:p>
        </w:tc>
        <w:tc>
          <w:tcPr>
            <w:tcW w:w="6951" w:type="dxa"/>
            <w:vAlign w:val="center"/>
          </w:tcPr>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价格分采用最低价优先计算的方法，即满足磋商文件要求的最低价为评标基准价，其得分为满分。其他供应商的报价得分按照下列公式计算（小数点保留两位）：</w:t>
            </w:r>
          </w:p>
          <w:p>
            <w:pPr>
              <w:spacing w:line="360" w:lineRule="auto"/>
              <w:rPr>
                <w:rFonts w:ascii="宋体" w:hAnsi="宋体" w:eastAsia="宋体"/>
                <w:color w:val="auto"/>
                <w:sz w:val="21"/>
                <w:szCs w:val="21"/>
                <w:highlight w:val="none"/>
                <w:lang w:val="en-US"/>
              </w:rPr>
            </w:pPr>
            <w:r>
              <w:rPr>
                <w:rFonts w:hint="eastAsia" w:ascii="宋体" w:hAnsi="宋体" w:eastAsia="宋体"/>
                <w:color w:val="auto"/>
                <w:sz w:val="21"/>
                <w:szCs w:val="21"/>
                <w:highlight w:val="none"/>
              </w:rPr>
              <w:t>投标报价得分</w:t>
            </w:r>
            <w:r>
              <w:rPr>
                <w:rFonts w:ascii="宋体" w:hAnsi="宋体" w:eastAsia="宋体"/>
                <w:color w:val="auto"/>
                <w:sz w:val="21"/>
                <w:szCs w:val="21"/>
                <w:highlight w:val="none"/>
              </w:rPr>
              <w:t>=</w:t>
            </w:r>
            <w:r>
              <w:rPr>
                <w:rFonts w:hint="eastAsia" w:ascii="宋体" w:hAnsi="宋体" w:eastAsia="宋体"/>
                <w:color w:val="auto"/>
                <w:sz w:val="21"/>
                <w:szCs w:val="21"/>
                <w:highlight w:val="none"/>
              </w:rPr>
              <w:t>（评标基准价／投标报价）</w:t>
            </w:r>
            <w:r>
              <w:rPr>
                <w:rFonts w:ascii="宋体" w:hAnsi="宋体" w:eastAsia="宋体"/>
                <w:color w:val="auto"/>
                <w:sz w:val="21"/>
                <w:szCs w:val="21"/>
                <w:highlight w:val="none"/>
              </w:rPr>
              <w:t>×20</w:t>
            </w:r>
            <w:r>
              <w:rPr>
                <w:rFonts w:hint="eastAsia" w:ascii="宋体" w:hAnsi="宋体" w:eastAsia="宋体"/>
                <w:color w:val="auto"/>
                <w:sz w:val="21"/>
                <w:szCs w:val="21"/>
                <w:highlight w:val="none"/>
              </w:rPr>
              <w:t>。</w:t>
            </w:r>
          </w:p>
        </w:tc>
        <w:tc>
          <w:tcPr>
            <w:tcW w:w="868" w:type="dxa"/>
            <w:vAlign w:val="center"/>
          </w:tcPr>
          <w:p>
            <w:pPr>
              <w:spacing w:line="360" w:lineRule="auto"/>
              <w:jc w:val="center"/>
              <w:rPr>
                <w:rFonts w:ascii="宋体" w:hAnsi="宋体" w:eastAsia="宋体"/>
                <w:b/>
                <w:color w:val="auto"/>
                <w:sz w:val="21"/>
                <w:szCs w:val="21"/>
                <w:highlight w:val="none"/>
              </w:rPr>
            </w:pPr>
            <w:r>
              <w:rPr>
                <w:rFonts w:ascii="宋体" w:hAnsi="宋体" w:eastAsia="宋体"/>
                <w:b/>
                <w:color w:val="auto"/>
                <w:sz w:val="21"/>
                <w:szCs w:val="21"/>
                <w:highlight w:val="none"/>
              </w:rPr>
              <w:t>20</w:t>
            </w:r>
          </w:p>
        </w:tc>
        <w:tc>
          <w:tcPr>
            <w:tcW w:w="868" w:type="dxa"/>
            <w:vAlign w:val="center"/>
          </w:tcPr>
          <w:p>
            <w:pPr>
              <w:spacing w:line="360" w:lineRule="auto"/>
              <w:jc w:val="center"/>
              <w:rPr>
                <w:rFonts w:ascii="宋体" w:hAnsi="宋体" w:eastAsia="宋体"/>
                <w:b/>
                <w:color w:val="auto"/>
                <w:sz w:val="21"/>
                <w:szCs w:val="21"/>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2" w:type="dxa"/>
            <w:gridSpan w:val="5"/>
            <w:vAlign w:val="center"/>
          </w:tcPr>
          <w:p>
            <w:pPr>
              <w:spacing w:line="360" w:lineRule="auto"/>
              <w:jc w:val="center"/>
              <w:rPr>
                <w:rFonts w:ascii="宋体" w:hAnsi="宋体" w:eastAsia="宋体"/>
                <w:b/>
                <w:color w:val="auto"/>
                <w:sz w:val="21"/>
                <w:szCs w:val="21"/>
                <w:highlight w:val="none"/>
                <w:lang w:val="en-US" w:eastAsia="zh-Hans"/>
              </w:rPr>
            </w:pPr>
            <w:r>
              <w:rPr>
                <w:rFonts w:hint="eastAsia" w:ascii="宋体" w:hAnsi="宋体" w:eastAsia="宋体"/>
                <w:b/>
                <w:color w:val="auto"/>
                <w:sz w:val="21"/>
                <w:szCs w:val="21"/>
                <w:highlight w:val="none"/>
                <w:lang w:val="en-US" w:eastAsia="zh-Hans"/>
              </w:rPr>
              <w:t>二、技术评审（</w:t>
            </w:r>
            <w:r>
              <w:rPr>
                <w:rFonts w:hint="eastAsia" w:ascii="宋体" w:hAnsi="宋体" w:eastAsia="宋体"/>
                <w:b/>
                <w:color w:val="auto"/>
                <w:sz w:val="21"/>
                <w:szCs w:val="21"/>
                <w:highlight w:val="none"/>
                <w:lang w:val="en-US" w:eastAsia="zh-CN"/>
              </w:rPr>
              <w:t>50</w:t>
            </w:r>
            <w:r>
              <w:rPr>
                <w:rFonts w:hint="eastAsia" w:ascii="宋体" w:hAnsi="宋体" w:eastAsia="宋体"/>
                <w:b/>
                <w:color w:val="auto"/>
                <w:sz w:val="21"/>
                <w:szCs w:val="21"/>
                <w:highlight w:val="none"/>
                <w:lang w:val="en-US"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92" w:type="dxa"/>
            <w:vAlign w:val="center"/>
          </w:tcPr>
          <w:p>
            <w:pPr>
              <w:spacing w:line="360" w:lineRule="auto"/>
              <w:jc w:val="center"/>
              <w:rPr>
                <w:rFonts w:ascii="宋体" w:hAnsi="宋体" w:eastAsia="宋体"/>
                <w:b/>
                <w:color w:val="auto"/>
                <w:sz w:val="21"/>
                <w:szCs w:val="21"/>
                <w:highlight w:val="none"/>
              </w:rPr>
            </w:pPr>
            <w:r>
              <w:rPr>
                <w:rFonts w:ascii="宋体" w:hAnsi="宋体" w:eastAsia="宋体"/>
                <w:b/>
                <w:color w:val="auto"/>
                <w:sz w:val="21"/>
                <w:szCs w:val="21"/>
                <w:highlight w:val="none"/>
              </w:rPr>
              <w:t>2.1</w:t>
            </w:r>
          </w:p>
        </w:tc>
        <w:tc>
          <w:tcPr>
            <w:tcW w:w="1113" w:type="dxa"/>
            <w:vAlign w:val="center"/>
          </w:tcPr>
          <w:p>
            <w:pPr>
              <w:spacing w:line="360" w:lineRule="auto"/>
              <w:jc w:val="center"/>
              <w:rPr>
                <w:rFonts w:ascii="宋体" w:hAnsi="宋体" w:eastAsia="宋体"/>
                <w:b/>
                <w:color w:val="auto"/>
                <w:sz w:val="21"/>
                <w:szCs w:val="21"/>
                <w:highlight w:val="none"/>
                <w:lang w:val="en-US" w:eastAsia="zh-Hans"/>
              </w:rPr>
            </w:pPr>
            <w:r>
              <w:rPr>
                <w:rFonts w:hint="eastAsia" w:ascii="宋体" w:hAnsi="宋体" w:eastAsia="宋体"/>
                <w:b/>
                <w:color w:val="auto"/>
                <w:sz w:val="18"/>
                <w:szCs w:val="18"/>
                <w:highlight w:val="none"/>
                <w:lang w:val="en-US"/>
              </w:rPr>
              <w:t>进度计划和各阶段进度的保证措施</w:t>
            </w:r>
          </w:p>
        </w:tc>
        <w:tc>
          <w:tcPr>
            <w:tcW w:w="6951" w:type="dxa"/>
            <w:vAlign w:val="center"/>
          </w:tcPr>
          <w:p>
            <w:pPr>
              <w:snapToGrid w:val="0"/>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根据供应商提供的</w:t>
            </w:r>
            <w:r>
              <w:rPr>
                <w:rFonts w:hint="eastAsia" w:ascii="宋体" w:hAnsi="宋体" w:eastAsia="宋体"/>
                <w:bCs/>
                <w:color w:val="auto"/>
                <w:sz w:val="21"/>
                <w:szCs w:val="21"/>
                <w:highlight w:val="none"/>
                <w:lang w:val="en-US" w:eastAsia="zh-CN"/>
              </w:rPr>
              <w:t>文物保护修复</w:t>
            </w:r>
            <w:r>
              <w:rPr>
                <w:rFonts w:hint="eastAsia" w:ascii="宋体" w:hAnsi="宋体" w:eastAsia="宋体"/>
                <w:bCs/>
                <w:color w:val="auto"/>
                <w:sz w:val="21"/>
                <w:szCs w:val="21"/>
                <w:highlight w:val="none"/>
                <w:lang w:val="en-US" w:eastAsia="zh-Hans"/>
              </w:rPr>
              <w:t>进度计划和各阶段进度的保证措施综合评分。</w:t>
            </w:r>
          </w:p>
          <w:p>
            <w:pPr>
              <w:snapToGrid w:val="0"/>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rPr>
              <w:t>进度计划合理、保证措施完善的得</w:t>
            </w: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lang w:val="en-US"/>
              </w:rPr>
              <w:t>分</w:t>
            </w:r>
            <w:r>
              <w:rPr>
                <w:rFonts w:hint="eastAsia" w:ascii="宋体" w:hAnsi="宋体" w:eastAsia="宋体"/>
                <w:bCs/>
                <w:color w:val="auto"/>
                <w:sz w:val="21"/>
                <w:szCs w:val="21"/>
                <w:highlight w:val="none"/>
                <w:lang w:val="en-US" w:eastAsia="zh-Hans"/>
              </w:rPr>
              <w:t>；</w:t>
            </w:r>
          </w:p>
          <w:p>
            <w:pPr>
              <w:snapToGrid w:val="0"/>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rPr>
              <w:t>进度计划合理、保证措施较完善的得</w:t>
            </w:r>
            <w:r>
              <w:rPr>
                <w:rFonts w:hint="eastAsia" w:ascii="宋体" w:hAnsi="宋体" w:eastAsia="宋体"/>
                <w:bCs/>
                <w:color w:val="auto"/>
                <w:sz w:val="21"/>
                <w:szCs w:val="21"/>
                <w:highlight w:val="none"/>
                <w:lang w:val="en-US" w:eastAsia="zh-CN"/>
              </w:rPr>
              <w:t>4</w:t>
            </w:r>
            <w:r>
              <w:rPr>
                <w:rFonts w:hint="eastAsia" w:ascii="宋体" w:hAnsi="宋体" w:eastAsia="宋体"/>
                <w:bCs/>
                <w:color w:val="auto"/>
                <w:sz w:val="21"/>
                <w:szCs w:val="21"/>
                <w:highlight w:val="none"/>
                <w:lang w:val="en-US"/>
              </w:rPr>
              <w:t>分</w:t>
            </w:r>
            <w:r>
              <w:rPr>
                <w:rFonts w:hint="eastAsia" w:ascii="宋体" w:hAnsi="宋体" w:eastAsia="宋体"/>
                <w:bCs/>
                <w:color w:val="auto"/>
                <w:sz w:val="21"/>
                <w:szCs w:val="21"/>
                <w:highlight w:val="none"/>
                <w:lang w:val="en-US" w:eastAsia="zh-Hans"/>
              </w:rPr>
              <w:t>；</w:t>
            </w:r>
          </w:p>
          <w:p>
            <w:pPr>
              <w:snapToGrid w:val="0"/>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rPr>
              <w:t>进度计划基本合理、保证措施基本完善或缺失的得</w:t>
            </w:r>
            <w:r>
              <w:rPr>
                <w:rFonts w:hint="eastAsia" w:ascii="宋体" w:hAnsi="宋体" w:eastAsia="宋体"/>
                <w:bCs/>
                <w:color w:val="auto"/>
                <w:sz w:val="21"/>
                <w:szCs w:val="21"/>
                <w:highlight w:val="none"/>
                <w:lang w:val="en-US" w:eastAsia="zh-CN"/>
              </w:rPr>
              <w:t>2</w:t>
            </w:r>
            <w:r>
              <w:rPr>
                <w:rFonts w:hint="eastAsia" w:ascii="宋体" w:hAnsi="宋体" w:eastAsia="宋体"/>
                <w:bCs/>
                <w:color w:val="auto"/>
                <w:sz w:val="21"/>
                <w:szCs w:val="21"/>
                <w:highlight w:val="none"/>
                <w:lang w:val="en-US"/>
              </w:rPr>
              <w:t>分</w:t>
            </w:r>
            <w:r>
              <w:rPr>
                <w:rFonts w:hint="eastAsia" w:ascii="宋体" w:hAnsi="宋体" w:eastAsia="宋体"/>
                <w:bCs/>
                <w:color w:val="auto"/>
                <w:sz w:val="21"/>
                <w:szCs w:val="21"/>
                <w:highlight w:val="none"/>
                <w:lang w:val="en-US" w:eastAsia="zh-Hans"/>
              </w:rPr>
              <w:t>；</w:t>
            </w:r>
          </w:p>
          <w:p>
            <w:pPr>
              <w:snapToGrid w:val="0"/>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未提供不得分。</w:t>
            </w:r>
          </w:p>
        </w:tc>
        <w:tc>
          <w:tcPr>
            <w:tcW w:w="868" w:type="dxa"/>
            <w:vAlign w:val="center"/>
          </w:tcPr>
          <w:p>
            <w:pPr>
              <w:snapToGrid w:val="0"/>
              <w:spacing w:line="360" w:lineRule="auto"/>
              <w:jc w:val="center"/>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val="en-US" w:eastAsia="zh-CN"/>
              </w:rPr>
              <w:t>8</w:t>
            </w:r>
          </w:p>
        </w:tc>
        <w:tc>
          <w:tcPr>
            <w:tcW w:w="868" w:type="dxa"/>
            <w:vAlign w:val="center"/>
          </w:tcPr>
          <w:p>
            <w:pPr>
              <w:snapToGrid w:val="0"/>
              <w:spacing w:line="360" w:lineRule="auto"/>
              <w:jc w:val="center"/>
              <w:rPr>
                <w:rFonts w:ascii="宋体" w:hAnsi="宋体" w:eastAsia="宋体"/>
                <w:b/>
                <w:bCs/>
                <w:color w:val="auto"/>
                <w:sz w:val="21"/>
                <w:szCs w:val="21"/>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spacing w:line="360" w:lineRule="auto"/>
              <w:jc w:val="center"/>
              <w:rPr>
                <w:rFonts w:ascii="宋体" w:hAnsi="宋体" w:eastAsia="宋体"/>
                <w:b/>
                <w:color w:val="auto"/>
                <w:sz w:val="21"/>
                <w:szCs w:val="21"/>
                <w:highlight w:val="none"/>
              </w:rPr>
            </w:pPr>
            <w:r>
              <w:rPr>
                <w:rFonts w:ascii="宋体" w:hAnsi="宋体" w:eastAsia="宋体"/>
                <w:b/>
                <w:color w:val="auto"/>
                <w:sz w:val="21"/>
                <w:szCs w:val="21"/>
                <w:highlight w:val="none"/>
              </w:rPr>
              <w:t>2.2</w:t>
            </w:r>
          </w:p>
        </w:tc>
        <w:tc>
          <w:tcPr>
            <w:tcW w:w="1113" w:type="dxa"/>
            <w:vAlign w:val="center"/>
          </w:tcPr>
          <w:p>
            <w:pPr>
              <w:spacing w:line="360" w:lineRule="auto"/>
              <w:jc w:val="center"/>
              <w:rPr>
                <w:rFonts w:ascii="宋体" w:hAnsi="宋体" w:eastAsia="宋体"/>
                <w:b/>
                <w:color w:val="auto"/>
                <w:sz w:val="21"/>
                <w:szCs w:val="21"/>
                <w:highlight w:val="none"/>
                <w:lang w:val="en-US" w:eastAsia="zh-Hans"/>
              </w:rPr>
            </w:pPr>
            <w:r>
              <w:rPr>
                <w:rFonts w:hint="eastAsia" w:ascii="宋体" w:hAnsi="宋体" w:eastAsia="宋体"/>
                <w:b/>
                <w:color w:val="auto"/>
                <w:sz w:val="18"/>
                <w:szCs w:val="18"/>
                <w:highlight w:val="none"/>
                <w:lang w:val="en-US"/>
              </w:rPr>
              <w:t>关键技术</w:t>
            </w:r>
            <w:r>
              <w:rPr>
                <w:rFonts w:hint="eastAsia" w:ascii="宋体" w:hAnsi="宋体" w:eastAsia="宋体"/>
                <w:b/>
                <w:color w:val="auto"/>
                <w:sz w:val="18"/>
                <w:szCs w:val="18"/>
                <w:highlight w:val="none"/>
                <w:lang w:val="en-US" w:eastAsia="zh-Hans"/>
              </w:rPr>
              <w:t>路线</w:t>
            </w:r>
            <w:r>
              <w:rPr>
                <w:rFonts w:hint="eastAsia" w:ascii="宋体" w:hAnsi="宋体" w:eastAsia="宋体"/>
                <w:b/>
                <w:color w:val="auto"/>
                <w:sz w:val="18"/>
                <w:szCs w:val="18"/>
                <w:highlight w:val="none"/>
                <w:lang w:val="en-US"/>
              </w:rPr>
              <w:t>、</w:t>
            </w:r>
            <w:r>
              <w:rPr>
                <w:rFonts w:hint="eastAsia" w:ascii="宋体" w:hAnsi="宋体" w:eastAsia="宋体"/>
                <w:b/>
                <w:color w:val="auto"/>
                <w:sz w:val="18"/>
                <w:szCs w:val="18"/>
                <w:highlight w:val="none"/>
                <w:lang w:val="en-US" w:eastAsia="zh-Hans"/>
              </w:rPr>
              <w:t>流程</w:t>
            </w:r>
            <w:r>
              <w:rPr>
                <w:rFonts w:hint="eastAsia" w:ascii="宋体" w:hAnsi="宋体" w:eastAsia="宋体"/>
                <w:b/>
                <w:color w:val="auto"/>
                <w:sz w:val="18"/>
                <w:szCs w:val="18"/>
                <w:highlight w:val="none"/>
                <w:lang w:val="en-US"/>
              </w:rPr>
              <w:t>及实施的重点、难点和解决方案</w:t>
            </w:r>
          </w:p>
        </w:tc>
        <w:tc>
          <w:tcPr>
            <w:tcW w:w="6951" w:type="dxa"/>
            <w:vAlign w:val="center"/>
          </w:tcPr>
          <w:p>
            <w:pPr>
              <w:snapToGrid w:val="0"/>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根据供应商提供的</w:t>
            </w:r>
            <w:r>
              <w:rPr>
                <w:rFonts w:hint="eastAsia" w:ascii="宋体" w:hAnsi="宋体" w:eastAsia="宋体"/>
                <w:bCs/>
                <w:color w:val="auto"/>
                <w:sz w:val="21"/>
                <w:szCs w:val="21"/>
                <w:highlight w:val="none"/>
                <w:lang w:val="en-US" w:eastAsia="zh-CN"/>
              </w:rPr>
              <w:t>文物保护修复</w:t>
            </w:r>
            <w:r>
              <w:rPr>
                <w:rFonts w:hint="eastAsia" w:ascii="宋体" w:hAnsi="宋体" w:eastAsia="宋体"/>
                <w:bCs/>
                <w:color w:val="auto"/>
                <w:sz w:val="21"/>
                <w:szCs w:val="21"/>
                <w:highlight w:val="none"/>
                <w:lang w:val="en-US" w:eastAsia="zh-Hans"/>
              </w:rPr>
              <w:t>关键技术路线、</w:t>
            </w:r>
            <w:r>
              <w:rPr>
                <w:rFonts w:hint="eastAsia" w:ascii="宋体" w:hAnsi="宋体" w:eastAsia="宋体"/>
                <w:bCs/>
                <w:color w:val="auto"/>
                <w:sz w:val="21"/>
                <w:szCs w:val="21"/>
                <w:highlight w:val="none"/>
                <w:lang w:val="en-US" w:eastAsia="zh-CN"/>
              </w:rPr>
              <w:t>修复</w:t>
            </w:r>
            <w:r>
              <w:rPr>
                <w:rFonts w:hint="eastAsia" w:ascii="宋体" w:hAnsi="宋体" w:eastAsia="宋体"/>
                <w:bCs/>
                <w:color w:val="auto"/>
                <w:sz w:val="21"/>
                <w:szCs w:val="21"/>
                <w:highlight w:val="none"/>
                <w:lang w:val="en-US" w:eastAsia="zh-Hans"/>
              </w:rPr>
              <w:t>流程及实施的重点、难点和解决方案综合评分。</w:t>
            </w:r>
          </w:p>
          <w:p>
            <w:pPr>
              <w:snapToGrid w:val="0"/>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关键技术成熟，流程科学、合理，</w:t>
            </w:r>
            <w:r>
              <w:rPr>
                <w:rFonts w:hint="eastAsia" w:ascii="宋体" w:hAnsi="宋体" w:eastAsia="宋体"/>
                <w:bCs/>
                <w:color w:val="auto"/>
                <w:sz w:val="21"/>
                <w:szCs w:val="21"/>
                <w:highlight w:val="none"/>
                <w:lang w:val="en-US"/>
              </w:rPr>
              <w:t>重点、难点分析准确，解决方案合理、可行，</w:t>
            </w:r>
            <w:r>
              <w:rPr>
                <w:rFonts w:hint="eastAsia" w:ascii="宋体" w:hAnsi="宋体" w:eastAsia="宋体"/>
                <w:bCs/>
                <w:color w:val="auto"/>
                <w:sz w:val="21"/>
                <w:szCs w:val="21"/>
                <w:highlight w:val="none"/>
                <w:lang w:val="en-US" w:eastAsia="zh-Hans"/>
              </w:rPr>
              <w:t>考虑全面、</w:t>
            </w:r>
            <w:r>
              <w:rPr>
                <w:rFonts w:hint="eastAsia" w:ascii="宋体" w:hAnsi="宋体" w:eastAsia="宋体"/>
                <w:bCs/>
                <w:color w:val="auto"/>
                <w:sz w:val="21"/>
                <w:szCs w:val="21"/>
                <w:highlight w:val="none"/>
                <w:lang w:val="en-US"/>
              </w:rPr>
              <w:t>具有针对性的得</w:t>
            </w:r>
            <w:r>
              <w:rPr>
                <w:rFonts w:hint="eastAsia" w:ascii="宋体" w:hAnsi="宋体" w:eastAsia="宋体"/>
                <w:bCs/>
                <w:color w:val="auto"/>
                <w:sz w:val="21"/>
                <w:szCs w:val="21"/>
                <w:highlight w:val="none"/>
              </w:rPr>
              <w:t>1</w:t>
            </w:r>
            <w:r>
              <w:rPr>
                <w:rFonts w:hint="eastAsia" w:ascii="宋体" w:hAnsi="宋体" w:eastAsia="宋体"/>
                <w:bCs/>
                <w:color w:val="auto"/>
                <w:sz w:val="21"/>
                <w:szCs w:val="21"/>
                <w:highlight w:val="none"/>
                <w:lang w:val="en-US" w:eastAsia="zh-CN"/>
              </w:rPr>
              <w:t>7</w:t>
            </w:r>
            <w:r>
              <w:rPr>
                <w:rFonts w:hint="eastAsia" w:ascii="宋体" w:hAnsi="宋体" w:eastAsia="宋体"/>
                <w:bCs/>
                <w:color w:val="auto"/>
                <w:sz w:val="21"/>
                <w:szCs w:val="21"/>
                <w:highlight w:val="none"/>
                <w:lang w:val="en-US"/>
              </w:rPr>
              <w:t>分</w:t>
            </w:r>
            <w:r>
              <w:rPr>
                <w:rFonts w:hint="eastAsia" w:ascii="宋体" w:hAnsi="宋体" w:eastAsia="宋体"/>
                <w:bCs/>
                <w:color w:val="auto"/>
                <w:sz w:val="21"/>
                <w:szCs w:val="21"/>
                <w:highlight w:val="none"/>
                <w:lang w:val="en-US" w:eastAsia="zh-Hans"/>
              </w:rPr>
              <w:t>；</w:t>
            </w:r>
          </w:p>
          <w:p>
            <w:pPr>
              <w:snapToGrid w:val="0"/>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关键技术较成熟，流程较科学、合理，</w:t>
            </w:r>
            <w:r>
              <w:rPr>
                <w:rFonts w:hint="eastAsia" w:ascii="宋体" w:hAnsi="宋体" w:eastAsia="宋体"/>
                <w:bCs/>
                <w:color w:val="auto"/>
                <w:sz w:val="21"/>
                <w:szCs w:val="21"/>
                <w:highlight w:val="none"/>
                <w:lang w:val="en-US"/>
              </w:rPr>
              <w:t>重点、难点分析</w:t>
            </w:r>
            <w:r>
              <w:rPr>
                <w:rFonts w:hint="eastAsia" w:ascii="宋体" w:hAnsi="宋体" w:eastAsia="宋体"/>
                <w:bCs/>
                <w:color w:val="auto"/>
                <w:sz w:val="21"/>
                <w:szCs w:val="21"/>
                <w:highlight w:val="none"/>
                <w:lang w:val="en-US" w:eastAsia="zh-Hans"/>
              </w:rPr>
              <w:t>较</w:t>
            </w:r>
            <w:r>
              <w:rPr>
                <w:rFonts w:hint="eastAsia" w:ascii="宋体" w:hAnsi="宋体" w:eastAsia="宋体"/>
                <w:bCs/>
                <w:color w:val="auto"/>
                <w:sz w:val="21"/>
                <w:szCs w:val="21"/>
                <w:highlight w:val="none"/>
                <w:lang w:val="en-US"/>
              </w:rPr>
              <w:t>准确，解决方案</w:t>
            </w:r>
            <w:r>
              <w:rPr>
                <w:rFonts w:hint="eastAsia" w:ascii="宋体" w:hAnsi="宋体" w:eastAsia="宋体"/>
                <w:bCs/>
                <w:color w:val="auto"/>
                <w:sz w:val="21"/>
                <w:szCs w:val="21"/>
                <w:highlight w:val="none"/>
                <w:lang w:val="en-US" w:eastAsia="zh-Hans"/>
              </w:rPr>
              <w:t>较</w:t>
            </w:r>
            <w:r>
              <w:rPr>
                <w:rFonts w:hint="eastAsia" w:ascii="宋体" w:hAnsi="宋体" w:eastAsia="宋体"/>
                <w:bCs/>
                <w:color w:val="auto"/>
                <w:sz w:val="21"/>
                <w:szCs w:val="21"/>
                <w:highlight w:val="none"/>
                <w:lang w:val="en-US"/>
              </w:rPr>
              <w:t>合理、可行，</w:t>
            </w:r>
            <w:r>
              <w:rPr>
                <w:rFonts w:hint="eastAsia" w:ascii="宋体" w:hAnsi="宋体" w:eastAsia="宋体"/>
                <w:bCs/>
                <w:color w:val="auto"/>
                <w:sz w:val="21"/>
                <w:szCs w:val="21"/>
                <w:highlight w:val="none"/>
                <w:lang w:val="en-US" w:eastAsia="zh-Hans"/>
              </w:rPr>
              <w:t>考虑较全面、</w:t>
            </w:r>
            <w:r>
              <w:rPr>
                <w:rFonts w:hint="eastAsia" w:ascii="宋体" w:hAnsi="宋体" w:eastAsia="宋体"/>
                <w:bCs/>
                <w:color w:val="auto"/>
                <w:sz w:val="21"/>
                <w:szCs w:val="21"/>
                <w:highlight w:val="none"/>
                <w:lang w:val="en-US"/>
              </w:rPr>
              <w:t>具</w:t>
            </w:r>
            <w:r>
              <w:rPr>
                <w:rFonts w:hint="eastAsia" w:ascii="宋体" w:hAnsi="宋体" w:eastAsia="宋体"/>
                <w:bCs/>
                <w:color w:val="auto"/>
                <w:sz w:val="21"/>
                <w:szCs w:val="21"/>
                <w:highlight w:val="none"/>
                <w:lang w:val="en-US" w:eastAsia="zh-Hans"/>
              </w:rPr>
              <w:t>一定</w:t>
            </w:r>
            <w:r>
              <w:rPr>
                <w:rFonts w:hint="eastAsia" w:ascii="宋体" w:hAnsi="宋体" w:eastAsia="宋体"/>
                <w:bCs/>
                <w:color w:val="auto"/>
                <w:sz w:val="21"/>
                <w:szCs w:val="21"/>
                <w:highlight w:val="none"/>
                <w:lang w:val="en-US"/>
              </w:rPr>
              <w:t>针对性的得</w:t>
            </w:r>
            <w:r>
              <w:rPr>
                <w:rFonts w:hint="eastAsia" w:ascii="宋体" w:hAnsi="宋体" w:eastAsia="宋体"/>
                <w:bCs/>
                <w:color w:val="auto"/>
                <w:sz w:val="21"/>
                <w:szCs w:val="21"/>
                <w:highlight w:val="none"/>
                <w:lang w:val="en-US" w:eastAsia="zh-CN"/>
              </w:rPr>
              <w:t>10</w:t>
            </w:r>
            <w:r>
              <w:rPr>
                <w:rFonts w:hint="eastAsia" w:ascii="宋体" w:hAnsi="宋体" w:eastAsia="宋体"/>
                <w:bCs/>
                <w:color w:val="auto"/>
                <w:sz w:val="21"/>
                <w:szCs w:val="21"/>
                <w:highlight w:val="none"/>
                <w:lang w:val="en-US"/>
              </w:rPr>
              <w:t>分</w:t>
            </w:r>
            <w:r>
              <w:rPr>
                <w:rFonts w:hint="eastAsia" w:ascii="宋体" w:hAnsi="宋体" w:eastAsia="宋体"/>
                <w:bCs/>
                <w:color w:val="auto"/>
                <w:sz w:val="21"/>
                <w:szCs w:val="21"/>
                <w:highlight w:val="none"/>
                <w:lang w:val="en-US" w:eastAsia="zh-Hans"/>
              </w:rPr>
              <w:t>；</w:t>
            </w:r>
          </w:p>
          <w:p>
            <w:pPr>
              <w:snapToGrid w:val="0"/>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关键技术较成熟，流程较科学、合理，</w:t>
            </w:r>
            <w:r>
              <w:rPr>
                <w:rFonts w:hint="eastAsia" w:ascii="宋体" w:hAnsi="宋体" w:eastAsia="宋体"/>
                <w:bCs/>
                <w:color w:val="auto"/>
                <w:sz w:val="21"/>
                <w:szCs w:val="21"/>
                <w:highlight w:val="none"/>
                <w:lang w:val="en-US"/>
              </w:rPr>
              <w:t>重点、难点分析</w:t>
            </w:r>
            <w:r>
              <w:rPr>
                <w:rFonts w:hint="eastAsia" w:ascii="宋体" w:hAnsi="宋体" w:eastAsia="宋体"/>
                <w:bCs/>
                <w:color w:val="auto"/>
                <w:sz w:val="21"/>
                <w:szCs w:val="21"/>
                <w:highlight w:val="none"/>
                <w:lang w:val="en-US" w:eastAsia="zh-Hans"/>
              </w:rPr>
              <w:t>较</w:t>
            </w:r>
            <w:r>
              <w:rPr>
                <w:rFonts w:hint="eastAsia" w:ascii="宋体" w:hAnsi="宋体" w:eastAsia="宋体"/>
                <w:bCs/>
                <w:color w:val="auto"/>
                <w:sz w:val="21"/>
                <w:szCs w:val="21"/>
                <w:highlight w:val="none"/>
                <w:lang w:val="en-US"/>
              </w:rPr>
              <w:t>准确，解决方案</w:t>
            </w:r>
            <w:r>
              <w:rPr>
                <w:rFonts w:hint="eastAsia" w:ascii="宋体" w:hAnsi="宋体" w:eastAsia="宋体"/>
                <w:bCs/>
                <w:color w:val="auto"/>
                <w:sz w:val="21"/>
                <w:szCs w:val="21"/>
                <w:highlight w:val="none"/>
                <w:lang w:val="en-US" w:eastAsia="zh-Hans"/>
              </w:rPr>
              <w:t>欠</w:t>
            </w:r>
            <w:r>
              <w:rPr>
                <w:rFonts w:hint="eastAsia" w:ascii="宋体" w:hAnsi="宋体" w:eastAsia="宋体"/>
                <w:bCs/>
                <w:color w:val="auto"/>
                <w:sz w:val="21"/>
                <w:szCs w:val="21"/>
                <w:highlight w:val="none"/>
                <w:lang w:val="en-US"/>
              </w:rPr>
              <w:t>合理，</w:t>
            </w:r>
            <w:r>
              <w:rPr>
                <w:rFonts w:hint="eastAsia" w:ascii="宋体" w:hAnsi="宋体" w:eastAsia="宋体"/>
                <w:bCs/>
                <w:color w:val="auto"/>
                <w:sz w:val="21"/>
                <w:szCs w:val="21"/>
                <w:highlight w:val="none"/>
                <w:lang w:val="en-US" w:eastAsia="zh-Hans"/>
              </w:rPr>
              <w:t>考虑全面性欠缺，针对性欠缺</w:t>
            </w:r>
            <w:r>
              <w:rPr>
                <w:rFonts w:hint="eastAsia" w:ascii="宋体" w:hAnsi="宋体" w:eastAsia="宋体"/>
                <w:bCs/>
                <w:color w:val="auto"/>
                <w:sz w:val="21"/>
                <w:szCs w:val="21"/>
                <w:highlight w:val="none"/>
                <w:lang w:val="en-US"/>
              </w:rPr>
              <w:t>的得</w:t>
            </w:r>
            <w:r>
              <w:rPr>
                <w:rFonts w:hint="eastAsia" w:ascii="宋体" w:hAnsi="宋体" w:eastAsia="宋体"/>
                <w:bCs/>
                <w:color w:val="auto"/>
                <w:sz w:val="21"/>
                <w:szCs w:val="21"/>
                <w:highlight w:val="none"/>
                <w:lang w:val="en-US" w:eastAsia="zh-CN"/>
              </w:rPr>
              <w:t>5</w:t>
            </w:r>
            <w:r>
              <w:rPr>
                <w:rFonts w:hint="eastAsia" w:ascii="宋体" w:hAnsi="宋体" w:eastAsia="宋体"/>
                <w:bCs/>
                <w:color w:val="auto"/>
                <w:sz w:val="21"/>
                <w:szCs w:val="21"/>
                <w:highlight w:val="none"/>
                <w:lang w:val="en-US"/>
              </w:rPr>
              <w:t>分</w:t>
            </w:r>
            <w:r>
              <w:rPr>
                <w:rFonts w:hint="eastAsia" w:ascii="宋体" w:hAnsi="宋体" w:eastAsia="宋体"/>
                <w:bCs/>
                <w:color w:val="auto"/>
                <w:sz w:val="21"/>
                <w:szCs w:val="21"/>
                <w:highlight w:val="none"/>
                <w:lang w:val="en-US" w:eastAsia="zh-Hans"/>
              </w:rPr>
              <w:t>；</w:t>
            </w:r>
          </w:p>
          <w:p>
            <w:pPr>
              <w:snapToGrid w:val="0"/>
              <w:spacing w:line="360" w:lineRule="auto"/>
              <w:rPr>
                <w:rFonts w:ascii="宋体" w:hAnsi="宋体" w:eastAsia="宋体"/>
                <w:bCs/>
                <w:color w:val="auto"/>
                <w:sz w:val="21"/>
                <w:szCs w:val="21"/>
                <w:highlight w:val="none"/>
                <w:lang w:val="en-US"/>
              </w:rPr>
            </w:pPr>
            <w:r>
              <w:rPr>
                <w:rFonts w:hint="eastAsia" w:ascii="宋体" w:hAnsi="宋体" w:eastAsia="宋体"/>
                <w:bCs/>
                <w:color w:val="auto"/>
                <w:sz w:val="21"/>
                <w:szCs w:val="21"/>
                <w:highlight w:val="none"/>
                <w:lang w:val="en-US" w:eastAsia="zh-Hans"/>
              </w:rPr>
              <w:t>未提供不得分。</w:t>
            </w:r>
          </w:p>
        </w:tc>
        <w:tc>
          <w:tcPr>
            <w:tcW w:w="868" w:type="dxa"/>
            <w:vAlign w:val="center"/>
          </w:tcPr>
          <w:p>
            <w:pPr>
              <w:snapToGrid w:val="0"/>
              <w:spacing w:line="360" w:lineRule="auto"/>
              <w:jc w:val="center"/>
              <w:rPr>
                <w:rFonts w:hint="eastAsia" w:ascii="宋体" w:hAnsi="宋体" w:eastAsia="宋体"/>
                <w:b/>
                <w:bCs/>
                <w:color w:val="auto"/>
                <w:sz w:val="21"/>
                <w:szCs w:val="21"/>
                <w:highlight w:val="none"/>
                <w:lang w:eastAsia="zh-CN"/>
              </w:rPr>
            </w:pPr>
            <w:r>
              <w:rPr>
                <w:rFonts w:ascii="宋体" w:hAnsi="宋体" w:eastAsia="宋体"/>
                <w:b/>
                <w:bCs/>
                <w:color w:val="auto"/>
                <w:sz w:val="21"/>
                <w:szCs w:val="21"/>
                <w:highlight w:val="none"/>
              </w:rPr>
              <w:t>1</w:t>
            </w:r>
            <w:r>
              <w:rPr>
                <w:rFonts w:hint="eastAsia" w:ascii="宋体" w:hAnsi="宋体" w:eastAsia="宋体"/>
                <w:b/>
                <w:bCs/>
                <w:color w:val="auto"/>
                <w:sz w:val="21"/>
                <w:szCs w:val="21"/>
                <w:highlight w:val="none"/>
                <w:lang w:val="en-US" w:eastAsia="zh-CN"/>
              </w:rPr>
              <w:t>7</w:t>
            </w:r>
          </w:p>
        </w:tc>
        <w:tc>
          <w:tcPr>
            <w:tcW w:w="868" w:type="dxa"/>
            <w:vAlign w:val="center"/>
          </w:tcPr>
          <w:p>
            <w:pPr>
              <w:snapToGrid w:val="0"/>
              <w:spacing w:line="360" w:lineRule="auto"/>
              <w:jc w:val="center"/>
              <w:rPr>
                <w:rFonts w:ascii="宋体" w:hAnsi="宋体" w:eastAsia="宋体"/>
                <w:b/>
                <w:bCs/>
                <w:color w:val="auto"/>
                <w:sz w:val="21"/>
                <w:szCs w:val="21"/>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spacing w:line="360" w:lineRule="auto"/>
              <w:jc w:val="center"/>
              <w:rPr>
                <w:rFonts w:ascii="宋体" w:hAnsi="宋体" w:eastAsia="宋体"/>
                <w:b/>
                <w:color w:val="auto"/>
                <w:sz w:val="21"/>
                <w:szCs w:val="21"/>
                <w:highlight w:val="none"/>
              </w:rPr>
            </w:pPr>
            <w:r>
              <w:rPr>
                <w:rFonts w:ascii="宋体" w:hAnsi="宋体" w:eastAsia="宋体"/>
                <w:b/>
                <w:color w:val="auto"/>
                <w:sz w:val="21"/>
                <w:szCs w:val="21"/>
                <w:highlight w:val="none"/>
              </w:rPr>
              <w:t>2.3</w:t>
            </w:r>
          </w:p>
        </w:tc>
        <w:tc>
          <w:tcPr>
            <w:tcW w:w="1113" w:type="dxa"/>
            <w:vAlign w:val="center"/>
          </w:tcPr>
          <w:p>
            <w:pPr>
              <w:spacing w:line="360" w:lineRule="auto"/>
              <w:jc w:val="center"/>
              <w:rPr>
                <w:rFonts w:ascii="宋体" w:hAnsi="宋体" w:eastAsia="宋体"/>
                <w:b/>
                <w:color w:val="auto"/>
                <w:sz w:val="21"/>
                <w:szCs w:val="21"/>
                <w:highlight w:val="none"/>
                <w:lang w:val="en-US" w:eastAsia="zh-Hans"/>
              </w:rPr>
            </w:pPr>
            <w:r>
              <w:rPr>
                <w:rFonts w:hint="eastAsia" w:ascii="宋体" w:hAnsi="宋体" w:eastAsia="宋体"/>
                <w:b/>
                <w:color w:val="auto"/>
                <w:sz w:val="18"/>
                <w:szCs w:val="18"/>
                <w:highlight w:val="none"/>
                <w:lang w:val="en-US"/>
              </w:rPr>
              <w:t>设备</w:t>
            </w:r>
            <w:r>
              <w:rPr>
                <w:rFonts w:hint="eastAsia" w:ascii="宋体" w:hAnsi="宋体" w:eastAsia="宋体"/>
                <w:b/>
                <w:color w:val="auto"/>
                <w:sz w:val="18"/>
                <w:szCs w:val="18"/>
                <w:highlight w:val="none"/>
                <w:lang w:val="en-US" w:eastAsia="zh-Hans"/>
              </w:rPr>
              <w:t>、器具</w:t>
            </w:r>
            <w:r>
              <w:rPr>
                <w:rFonts w:hint="eastAsia" w:ascii="宋体" w:hAnsi="宋体" w:eastAsia="宋体"/>
                <w:b/>
                <w:color w:val="auto"/>
                <w:sz w:val="18"/>
                <w:szCs w:val="18"/>
                <w:highlight w:val="none"/>
                <w:lang w:val="en-US"/>
              </w:rPr>
              <w:t>和材料投入计划及其保证措施</w:t>
            </w:r>
          </w:p>
        </w:tc>
        <w:tc>
          <w:tcPr>
            <w:tcW w:w="6951" w:type="dxa"/>
            <w:vAlign w:val="center"/>
          </w:tcPr>
          <w:p>
            <w:pPr>
              <w:snapToGrid w:val="0"/>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根据供应商提供的</w:t>
            </w:r>
            <w:r>
              <w:rPr>
                <w:rFonts w:hint="eastAsia" w:ascii="宋体" w:hAnsi="宋体" w:eastAsia="宋体"/>
                <w:bCs/>
                <w:color w:val="auto"/>
                <w:sz w:val="21"/>
                <w:szCs w:val="21"/>
                <w:highlight w:val="none"/>
                <w:lang w:val="en-US" w:eastAsia="zh-CN"/>
              </w:rPr>
              <w:t>文物保护修复</w:t>
            </w:r>
            <w:r>
              <w:rPr>
                <w:rFonts w:hint="eastAsia" w:ascii="宋体" w:hAnsi="宋体" w:eastAsia="宋体"/>
                <w:bCs/>
                <w:color w:val="auto"/>
                <w:sz w:val="21"/>
                <w:szCs w:val="21"/>
                <w:highlight w:val="none"/>
                <w:lang w:val="en-US" w:eastAsia="zh-Hans"/>
              </w:rPr>
              <w:t>设备、器具和材料投入计划及其保证措施综合评分。</w:t>
            </w:r>
          </w:p>
          <w:p>
            <w:pPr>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rPr>
              <w:t>投入计划与进度计划呼应，</w:t>
            </w:r>
            <w:r>
              <w:rPr>
                <w:rFonts w:hint="eastAsia" w:ascii="宋体" w:hAnsi="宋体" w:eastAsia="宋体"/>
                <w:bCs/>
                <w:color w:val="auto"/>
                <w:sz w:val="21"/>
                <w:szCs w:val="21"/>
                <w:highlight w:val="none"/>
                <w:lang w:val="en-US" w:eastAsia="zh-Hans"/>
              </w:rPr>
              <w:t>设备、材料先进、成熟，能完全</w:t>
            </w:r>
            <w:r>
              <w:rPr>
                <w:rFonts w:hint="eastAsia" w:ascii="宋体" w:hAnsi="宋体" w:eastAsia="宋体"/>
                <w:bCs/>
                <w:color w:val="auto"/>
                <w:sz w:val="21"/>
                <w:szCs w:val="21"/>
                <w:highlight w:val="none"/>
                <w:lang w:val="en-US"/>
              </w:rPr>
              <w:t>满足</w:t>
            </w:r>
            <w:r>
              <w:rPr>
                <w:rFonts w:hint="eastAsia" w:ascii="宋体" w:hAnsi="宋体" w:eastAsia="宋体"/>
                <w:bCs/>
                <w:color w:val="auto"/>
                <w:sz w:val="21"/>
                <w:szCs w:val="21"/>
                <w:highlight w:val="none"/>
                <w:lang w:val="en-US" w:eastAsia="zh-Hans"/>
              </w:rPr>
              <w:t>项目</w:t>
            </w:r>
            <w:r>
              <w:rPr>
                <w:rFonts w:hint="eastAsia" w:ascii="宋体" w:hAnsi="宋体" w:eastAsia="宋体"/>
                <w:bCs/>
                <w:color w:val="auto"/>
                <w:sz w:val="21"/>
                <w:szCs w:val="21"/>
                <w:highlight w:val="none"/>
                <w:lang w:val="en-US"/>
              </w:rPr>
              <w:t>需要，调配投入计划合理、准确</w:t>
            </w:r>
            <w:r>
              <w:rPr>
                <w:rFonts w:hint="eastAsia" w:ascii="宋体" w:hAnsi="宋体" w:eastAsia="宋体"/>
                <w:bCs/>
                <w:color w:val="auto"/>
                <w:sz w:val="21"/>
                <w:szCs w:val="21"/>
                <w:highlight w:val="none"/>
                <w:lang w:val="en-US" w:eastAsia="zh-Hans"/>
              </w:rPr>
              <w:t>，措施全面、完善的得</w:t>
            </w:r>
            <w:r>
              <w:rPr>
                <w:rFonts w:hint="eastAsia" w:ascii="宋体" w:hAnsi="宋体" w:eastAsia="宋体"/>
                <w:bCs/>
                <w:color w:val="auto"/>
                <w:sz w:val="21"/>
                <w:szCs w:val="21"/>
                <w:highlight w:val="none"/>
                <w:lang w:val="en-US"/>
              </w:rPr>
              <w:t>5分</w:t>
            </w:r>
            <w:r>
              <w:rPr>
                <w:rFonts w:hint="eastAsia" w:ascii="宋体" w:hAnsi="宋体" w:eastAsia="宋体"/>
                <w:bCs/>
                <w:color w:val="auto"/>
                <w:sz w:val="21"/>
                <w:szCs w:val="21"/>
                <w:highlight w:val="none"/>
                <w:lang w:val="en-US" w:eastAsia="zh-Hans"/>
              </w:rPr>
              <w:t>；</w:t>
            </w:r>
          </w:p>
          <w:p>
            <w:pPr>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rPr>
              <w:t>投入计划与进度计划</w:t>
            </w:r>
            <w:r>
              <w:rPr>
                <w:rFonts w:hint="eastAsia" w:ascii="宋体" w:hAnsi="宋体" w:eastAsia="宋体"/>
                <w:bCs/>
                <w:color w:val="auto"/>
                <w:sz w:val="21"/>
                <w:szCs w:val="21"/>
                <w:highlight w:val="none"/>
                <w:lang w:val="en-US" w:eastAsia="zh-Hans"/>
              </w:rPr>
              <w:t>较</w:t>
            </w:r>
            <w:r>
              <w:rPr>
                <w:rFonts w:hint="eastAsia" w:ascii="宋体" w:hAnsi="宋体" w:eastAsia="宋体"/>
                <w:bCs/>
                <w:color w:val="auto"/>
                <w:sz w:val="21"/>
                <w:szCs w:val="21"/>
                <w:highlight w:val="none"/>
                <w:lang w:val="en-US"/>
              </w:rPr>
              <w:t>呼应，</w:t>
            </w:r>
            <w:r>
              <w:rPr>
                <w:rFonts w:hint="eastAsia" w:ascii="宋体" w:hAnsi="宋体" w:eastAsia="宋体"/>
                <w:bCs/>
                <w:color w:val="auto"/>
                <w:sz w:val="21"/>
                <w:szCs w:val="21"/>
                <w:highlight w:val="none"/>
                <w:lang w:val="en-US" w:eastAsia="zh-Hans"/>
              </w:rPr>
              <w:t>设备、材料较先进、成熟，能基本</w:t>
            </w:r>
            <w:r>
              <w:rPr>
                <w:rFonts w:hint="eastAsia" w:ascii="宋体" w:hAnsi="宋体" w:eastAsia="宋体"/>
                <w:bCs/>
                <w:color w:val="auto"/>
                <w:sz w:val="21"/>
                <w:szCs w:val="21"/>
                <w:highlight w:val="none"/>
                <w:lang w:val="en-US"/>
              </w:rPr>
              <w:t>满足</w:t>
            </w:r>
            <w:r>
              <w:rPr>
                <w:rFonts w:hint="eastAsia" w:ascii="宋体" w:hAnsi="宋体" w:eastAsia="宋体"/>
                <w:bCs/>
                <w:color w:val="auto"/>
                <w:sz w:val="21"/>
                <w:szCs w:val="21"/>
                <w:highlight w:val="none"/>
                <w:lang w:val="en-US" w:eastAsia="zh-Hans"/>
              </w:rPr>
              <w:t>项目</w:t>
            </w:r>
            <w:r>
              <w:rPr>
                <w:rFonts w:hint="eastAsia" w:ascii="宋体" w:hAnsi="宋体" w:eastAsia="宋体"/>
                <w:bCs/>
                <w:color w:val="auto"/>
                <w:sz w:val="21"/>
                <w:szCs w:val="21"/>
                <w:highlight w:val="none"/>
                <w:lang w:val="en-US"/>
              </w:rPr>
              <w:t>需要，调配投入计划</w:t>
            </w:r>
            <w:r>
              <w:rPr>
                <w:rFonts w:hint="eastAsia" w:ascii="宋体" w:hAnsi="宋体" w:eastAsia="宋体"/>
                <w:bCs/>
                <w:color w:val="auto"/>
                <w:sz w:val="21"/>
                <w:szCs w:val="21"/>
                <w:highlight w:val="none"/>
                <w:lang w:val="en-US" w:eastAsia="zh-Hans"/>
              </w:rPr>
              <w:t>较</w:t>
            </w:r>
            <w:r>
              <w:rPr>
                <w:rFonts w:hint="eastAsia" w:ascii="宋体" w:hAnsi="宋体" w:eastAsia="宋体"/>
                <w:bCs/>
                <w:color w:val="auto"/>
                <w:sz w:val="21"/>
                <w:szCs w:val="21"/>
                <w:highlight w:val="none"/>
                <w:lang w:val="en-US"/>
              </w:rPr>
              <w:t>合理、准确</w:t>
            </w:r>
            <w:r>
              <w:rPr>
                <w:rFonts w:hint="eastAsia" w:ascii="宋体" w:hAnsi="宋体" w:eastAsia="宋体"/>
                <w:bCs/>
                <w:color w:val="auto"/>
                <w:sz w:val="21"/>
                <w:szCs w:val="21"/>
                <w:highlight w:val="none"/>
                <w:lang w:val="en-US" w:eastAsia="zh-Hans"/>
              </w:rPr>
              <w:t>，措施较全面、完善的的得</w:t>
            </w:r>
            <w:r>
              <w:rPr>
                <w:rFonts w:hint="eastAsia" w:ascii="宋体" w:hAnsi="宋体" w:eastAsia="宋体"/>
                <w:bCs/>
                <w:color w:val="auto"/>
                <w:sz w:val="21"/>
                <w:szCs w:val="21"/>
                <w:highlight w:val="none"/>
              </w:rPr>
              <w:t>3</w:t>
            </w:r>
            <w:r>
              <w:rPr>
                <w:rFonts w:hint="eastAsia" w:ascii="宋体" w:hAnsi="宋体" w:eastAsia="宋体"/>
                <w:bCs/>
                <w:color w:val="auto"/>
                <w:sz w:val="21"/>
                <w:szCs w:val="21"/>
                <w:highlight w:val="none"/>
                <w:lang w:val="en-US"/>
              </w:rPr>
              <w:t>分</w:t>
            </w:r>
            <w:r>
              <w:rPr>
                <w:rFonts w:hint="eastAsia" w:ascii="宋体" w:hAnsi="宋体" w:eastAsia="宋体"/>
                <w:bCs/>
                <w:color w:val="auto"/>
                <w:sz w:val="21"/>
                <w:szCs w:val="21"/>
                <w:highlight w:val="none"/>
                <w:lang w:val="en-US" w:eastAsia="zh-Hans"/>
              </w:rPr>
              <w:t>；</w:t>
            </w:r>
          </w:p>
          <w:p>
            <w:pPr>
              <w:spacing w:line="360" w:lineRule="auto"/>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Hans"/>
              </w:rPr>
              <w:t>编制简单、无法全面反映具体设备、器具、材料投入，措施不全面、不完善的得</w:t>
            </w:r>
            <w:r>
              <w:rPr>
                <w:rFonts w:hint="eastAsia" w:ascii="宋体" w:hAnsi="宋体" w:eastAsia="宋体"/>
                <w:bCs/>
                <w:color w:val="auto"/>
                <w:sz w:val="21"/>
                <w:szCs w:val="21"/>
                <w:highlight w:val="none"/>
                <w:lang w:eastAsia="zh-Hans"/>
              </w:rPr>
              <w:t>1</w:t>
            </w:r>
            <w:r>
              <w:rPr>
                <w:rFonts w:hint="eastAsia" w:ascii="宋体" w:hAnsi="宋体" w:eastAsia="宋体"/>
                <w:bCs/>
                <w:color w:val="auto"/>
                <w:sz w:val="21"/>
                <w:szCs w:val="21"/>
                <w:highlight w:val="none"/>
                <w:lang w:val="en-US" w:eastAsia="zh-Hans"/>
              </w:rPr>
              <w:t>分；</w:t>
            </w:r>
          </w:p>
          <w:p>
            <w:pPr>
              <w:spacing w:line="360" w:lineRule="auto"/>
              <w:rPr>
                <w:rFonts w:ascii="宋体" w:hAnsi="宋体" w:eastAsia="宋体"/>
                <w:bCs/>
                <w:color w:val="auto"/>
                <w:sz w:val="21"/>
                <w:szCs w:val="21"/>
                <w:highlight w:val="none"/>
                <w:lang w:val="en-US"/>
              </w:rPr>
            </w:pPr>
            <w:r>
              <w:rPr>
                <w:rFonts w:hint="eastAsia" w:ascii="宋体" w:hAnsi="宋体" w:eastAsia="宋体"/>
                <w:color w:val="auto"/>
                <w:sz w:val="21"/>
                <w:szCs w:val="21"/>
                <w:highlight w:val="none"/>
                <w:lang w:val="en-US" w:eastAsia="zh-Hans"/>
              </w:rPr>
              <w:t>未提供不得分。</w:t>
            </w:r>
          </w:p>
        </w:tc>
        <w:tc>
          <w:tcPr>
            <w:tcW w:w="868" w:type="dxa"/>
            <w:vAlign w:val="center"/>
          </w:tcPr>
          <w:p>
            <w:pPr>
              <w:snapToGrid w:val="0"/>
              <w:spacing w:line="360" w:lineRule="auto"/>
              <w:jc w:val="center"/>
              <w:rPr>
                <w:rFonts w:ascii="宋体" w:hAnsi="宋体" w:eastAsia="宋体"/>
                <w:b/>
                <w:bCs/>
                <w:color w:val="auto"/>
                <w:sz w:val="21"/>
                <w:szCs w:val="21"/>
                <w:highlight w:val="none"/>
              </w:rPr>
            </w:pPr>
            <w:r>
              <w:rPr>
                <w:rFonts w:ascii="宋体" w:hAnsi="宋体" w:eastAsia="宋体"/>
                <w:b/>
                <w:bCs/>
                <w:color w:val="auto"/>
                <w:sz w:val="21"/>
                <w:szCs w:val="21"/>
                <w:highlight w:val="none"/>
              </w:rPr>
              <w:t>5</w:t>
            </w:r>
          </w:p>
        </w:tc>
        <w:tc>
          <w:tcPr>
            <w:tcW w:w="868" w:type="dxa"/>
            <w:vAlign w:val="center"/>
          </w:tcPr>
          <w:p>
            <w:pPr>
              <w:snapToGrid w:val="0"/>
              <w:spacing w:line="360" w:lineRule="auto"/>
              <w:jc w:val="center"/>
              <w:rPr>
                <w:rFonts w:ascii="宋体" w:hAnsi="宋体" w:eastAsia="宋体"/>
                <w:b/>
                <w:bCs/>
                <w:color w:val="auto"/>
                <w:sz w:val="21"/>
                <w:szCs w:val="21"/>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spacing w:line="360" w:lineRule="auto"/>
              <w:jc w:val="center"/>
              <w:rPr>
                <w:rFonts w:ascii="宋体" w:hAnsi="宋体" w:eastAsia="宋体"/>
                <w:b/>
                <w:color w:val="auto"/>
                <w:sz w:val="21"/>
                <w:szCs w:val="21"/>
                <w:highlight w:val="none"/>
              </w:rPr>
            </w:pPr>
            <w:r>
              <w:rPr>
                <w:rFonts w:ascii="宋体" w:hAnsi="宋体" w:eastAsia="宋体"/>
                <w:b/>
                <w:color w:val="auto"/>
                <w:sz w:val="21"/>
                <w:szCs w:val="21"/>
                <w:highlight w:val="none"/>
              </w:rPr>
              <w:t>2.4</w:t>
            </w:r>
          </w:p>
        </w:tc>
        <w:tc>
          <w:tcPr>
            <w:tcW w:w="1113" w:type="dxa"/>
            <w:vAlign w:val="center"/>
          </w:tcPr>
          <w:p>
            <w:pPr>
              <w:spacing w:line="360" w:lineRule="auto"/>
              <w:jc w:val="center"/>
              <w:rPr>
                <w:rFonts w:ascii="宋体" w:hAnsi="宋体" w:eastAsia="宋体"/>
                <w:b/>
                <w:color w:val="auto"/>
                <w:sz w:val="21"/>
                <w:szCs w:val="21"/>
                <w:highlight w:val="none"/>
                <w:lang w:val="en-US" w:eastAsia="zh-Hans"/>
              </w:rPr>
            </w:pPr>
            <w:r>
              <w:rPr>
                <w:rFonts w:hint="eastAsia" w:ascii="宋体" w:hAnsi="宋体" w:eastAsia="宋体"/>
                <w:b/>
                <w:color w:val="auto"/>
                <w:sz w:val="21"/>
                <w:szCs w:val="21"/>
                <w:highlight w:val="none"/>
                <w:lang w:val="en-US" w:eastAsia="zh-Hans"/>
              </w:rPr>
              <w:t>质量</w:t>
            </w:r>
            <w:r>
              <w:rPr>
                <w:rFonts w:hint="eastAsia" w:ascii="宋体" w:hAnsi="宋体" w:eastAsia="宋体"/>
                <w:b/>
                <w:color w:val="auto"/>
                <w:sz w:val="21"/>
                <w:szCs w:val="21"/>
                <w:highlight w:val="none"/>
                <w:lang w:val="en-US"/>
              </w:rPr>
              <w:t>保证措施</w:t>
            </w:r>
          </w:p>
        </w:tc>
        <w:tc>
          <w:tcPr>
            <w:tcW w:w="6951" w:type="dxa"/>
            <w:vAlign w:val="center"/>
          </w:tcPr>
          <w:p>
            <w:pPr>
              <w:snapToGrid w:val="0"/>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根据供应商提供的</w:t>
            </w:r>
            <w:r>
              <w:rPr>
                <w:rFonts w:hint="eastAsia" w:ascii="宋体" w:hAnsi="宋体" w:eastAsia="宋体"/>
                <w:bCs/>
                <w:color w:val="auto"/>
                <w:sz w:val="21"/>
                <w:szCs w:val="21"/>
                <w:highlight w:val="none"/>
                <w:lang w:val="en-US" w:eastAsia="zh-CN"/>
              </w:rPr>
              <w:t>文物保护修复</w:t>
            </w:r>
            <w:r>
              <w:rPr>
                <w:rFonts w:hint="eastAsia" w:ascii="宋体" w:hAnsi="宋体" w:eastAsia="宋体"/>
                <w:bCs/>
                <w:color w:val="auto"/>
                <w:sz w:val="21"/>
                <w:szCs w:val="21"/>
                <w:highlight w:val="none"/>
                <w:lang w:val="en-US" w:eastAsia="zh-Hans"/>
              </w:rPr>
              <w:t>质量保证措施综合评分。</w:t>
            </w:r>
          </w:p>
          <w:p>
            <w:pPr>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能明确质量目标、细化</w:t>
            </w:r>
            <w:r>
              <w:rPr>
                <w:rFonts w:hint="eastAsia" w:ascii="宋体" w:hAnsi="宋体" w:eastAsia="宋体"/>
                <w:bCs/>
                <w:color w:val="auto"/>
                <w:sz w:val="21"/>
                <w:szCs w:val="21"/>
                <w:highlight w:val="none"/>
                <w:lang w:val="en-US" w:eastAsia="zh-CN"/>
              </w:rPr>
              <w:t>每件文物修复指标的</w:t>
            </w:r>
            <w:r>
              <w:rPr>
                <w:rFonts w:hint="eastAsia" w:ascii="宋体" w:hAnsi="宋体" w:eastAsia="宋体"/>
                <w:bCs/>
                <w:color w:val="auto"/>
                <w:sz w:val="21"/>
                <w:szCs w:val="21"/>
                <w:highlight w:val="none"/>
                <w:lang w:val="en-US" w:eastAsia="zh-Hans"/>
              </w:rPr>
              <w:t>质量标准，有对应的保证措施且全面、</w:t>
            </w:r>
            <w:r>
              <w:rPr>
                <w:rFonts w:hint="eastAsia" w:ascii="宋体" w:hAnsi="宋体" w:eastAsia="宋体"/>
                <w:bCs/>
                <w:color w:val="auto"/>
                <w:sz w:val="21"/>
                <w:szCs w:val="21"/>
                <w:highlight w:val="none"/>
                <w:lang w:val="en-US"/>
              </w:rPr>
              <w:t>完善的得</w:t>
            </w:r>
            <w:r>
              <w:rPr>
                <w:rFonts w:hint="eastAsia" w:ascii="宋体" w:hAnsi="宋体" w:eastAsia="宋体"/>
                <w:bCs/>
                <w:color w:val="auto"/>
                <w:sz w:val="21"/>
                <w:szCs w:val="21"/>
                <w:highlight w:val="none"/>
              </w:rPr>
              <w:t>10</w:t>
            </w:r>
            <w:r>
              <w:rPr>
                <w:rFonts w:hint="eastAsia" w:ascii="宋体" w:hAnsi="宋体" w:eastAsia="宋体"/>
                <w:bCs/>
                <w:color w:val="auto"/>
                <w:sz w:val="21"/>
                <w:szCs w:val="21"/>
                <w:highlight w:val="none"/>
                <w:lang w:val="en-US"/>
              </w:rPr>
              <w:t>分</w:t>
            </w:r>
            <w:r>
              <w:rPr>
                <w:rFonts w:hint="eastAsia" w:ascii="宋体" w:hAnsi="宋体" w:eastAsia="宋体"/>
                <w:bCs/>
                <w:color w:val="auto"/>
                <w:sz w:val="21"/>
                <w:szCs w:val="21"/>
                <w:highlight w:val="none"/>
                <w:lang w:val="en-US" w:eastAsia="zh-Hans"/>
              </w:rPr>
              <w:t>；</w:t>
            </w:r>
          </w:p>
          <w:p>
            <w:pPr>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能明确质量目标、细化</w:t>
            </w:r>
            <w:r>
              <w:rPr>
                <w:rFonts w:hint="eastAsia" w:ascii="宋体" w:hAnsi="宋体" w:eastAsia="宋体"/>
                <w:bCs/>
                <w:color w:val="auto"/>
                <w:sz w:val="21"/>
                <w:szCs w:val="21"/>
                <w:highlight w:val="none"/>
                <w:lang w:val="en-US" w:eastAsia="zh-CN"/>
              </w:rPr>
              <w:t>每件文物修复</w:t>
            </w:r>
            <w:r>
              <w:rPr>
                <w:rFonts w:hint="eastAsia" w:ascii="宋体" w:hAnsi="宋体" w:eastAsia="宋体"/>
                <w:bCs/>
                <w:color w:val="auto"/>
                <w:sz w:val="21"/>
                <w:szCs w:val="21"/>
                <w:highlight w:val="none"/>
                <w:lang w:val="en-US" w:eastAsia="zh-Hans"/>
              </w:rPr>
              <w:t>指标的质量标准，有对应的保证措施且较全面、较</w:t>
            </w:r>
            <w:r>
              <w:rPr>
                <w:rFonts w:hint="eastAsia" w:ascii="宋体" w:hAnsi="宋体" w:eastAsia="宋体"/>
                <w:bCs/>
                <w:color w:val="auto"/>
                <w:sz w:val="21"/>
                <w:szCs w:val="21"/>
                <w:highlight w:val="none"/>
                <w:lang w:val="en-US"/>
              </w:rPr>
              <w:t>完善的得</w:t>
            </w:r>
            <w:r>
              <w:rPr>
                <w:rFonts w:hint="eastAsia" w:ascii="宋体" w:hAnsi="宋体" w:eastAsia="宋体"/>
                <w:bCs/>
                <w:color w:val="auto"/>
                <w:sz w:val="21"/>
                <w:szCs w:val="21"/>
                <w:highlight w:val="none"/>
              </w:rPr>
              <w:t>7</w:t>
            </w:r>
            <w:r>
              <w:rPr>
                <w:rFonts w:hint="eastAsia" w:ascii="宋体" w:hAnsi="宋体" w:eastAsia="宋体"/>
                <w:bCs/>
                <w:color w:val="auto"/>
                <w:sz w:val="21"/>
                <w:szCs w:val="21"/>
                <w:highlight w:val="none"/>
                <w:lang w:val="en-US"/>
              </w:rPr>
              <w:t>分</w:t>
            </w:r>
            <w:r>
              <w:rPr>
                <w:rFonts w:hint="eastAsia" w:ascii="宋体" w:hAnsi="宋体" w:eastAsia="宋体"/>
                <w:bCs/>
                <w:color w:val="auto"/>
                <w:sz w:val="21"/>
                <w:szCs w:val="21"/>
                <w:highlight w:val="none"/>
                <w:lang w:val="en-US" w:eastAsia="zh-Hans"/>
              </w:rPr>
              <w:t>；</w:t>
            </w:r>
          </w:p>
          <w:p>
            <w:pPr>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能明确质量目标、细化</w:t>
            </w:r>
            <w:r>
              <w:rPr>
                <w:rFonts w:hint="eastAsia" w:ascii="宋体" w:hAnsi="宋体" w:eastAsia="宋体"/>
                <w:bCs/>
                <w:color w:val="auto"/>
                <w:sz w:val="21"/>
                <w:szCs w:val="21"/>
                <w:highlight w:val="none"/>
                <w:lang w:val="en-US" w:eastAsia="zh-CN"/>
              </w:rPr>
              <w:t>每件文物修复</w:t>
            </w:r>
            <w:r>
              <w:rPr>
                <w:rFonts w:hint="eastAsia" w:ascii="宋体" w:hAnsi="宋体" w:eastAsia="宋体"/>
                <w:bCs/>
                <w:color w:val="auto"/>
                <w:sz w:val="21"/>
                <w:szCs w:val="21"/>
                <w:highlight w:val="none"/>
                <w:lang w:val="en-US" w:eastAsia="zh-Hans"/>
              </w:rPr>
              <w:t>指标的质量标准，有对应的保证措施但全面性与</w:t>
            </w:r>
            <w:r>
              <w:rPr>
                <w:rFonts w:hint="eastAsia" w:ascii="宋体" w:hAnsi="宋体" w:eastAsia="宋体"/>
                <w:bCs/>
                <w:color w:val="auto"/>
                <w:sz w:val="21"/>
                <w:szCs w:val="21"/>
                <w:highlight w:val="none"/>
                <w:lang w:val="en-US"/>
              </w:rPr>
              <w:t>完善</w:t>
            </w:r>
            <w:r>
              <w:rPr>
                <w:rFonts w:hint="eastAsia" w:ascii="宋体" w:hAnsi="宋体" w:eastAsia="宋体"/>
                <w:bCs/>
                <w:color w:val="auto"/>
                <w:sz w:val="21"/>
                <w:szCs w:val="21"/>
                <w:highlight w:val="none"/>
                <w:lang w:val="en-US" w:eastAsia="zh-Hans"/>
              </w:rPr>
              <w:t>性较欠缺</w:t>
            </w:r>
            <w:r>
              <w:rPr>
                <w:rFonts w:hint="eastAsia" w:ascii="宋体" w:hAnsi="宋体" w:eastAsia="宋体"/>
                <w:bCs/>
                <w:color w:val="auto"/>
                <w:sz w:val="21"/>
                <w:szCs w:val="21"/>
                <w:highlight w:val="none"/>
                <w:lang w:val="en-US"/>
              </w:rPr>
              <w:t>的得</w:t>
            </w:r>
            <w:r>
              <w:rPr>
                <w:rFonts w:hint="eastAsia" w:ascii="宋体" w:hAnsi="宋体" w:eastAsia="宋体"/>
                <w:bCs/>
                <w:color w:val="auto"/>
                <w:sz w:val="21"/>
                <w:szCs w:val="21"/>
                <w:highlight w:val="none"/>
              </w:rPr>
              <w:t>4</w:t>
            </w:r>
            <w:r>
              <w:rPr>
                <w:rFonts w:hint="eastAsia" w:ascii="宋体" w:hAnsi="宋体" w:eastAsia="宋体"/>
                <w:bCs/>
                <w:color w:val="auto"/>
                <w:sz w:val="21"/>
                <w:szCs w:val="21"/>
                <w:highlight w:val="none"/>
                <w:lang w:val="en-US"/>
              </w:rPr>
              <w:t>分</w:t>
            </w:r>
            <w:r>
              <w:rPr>
                <w:rFonts w:hint="eastAsia" w:ascii="宋体" w:hAnsi="宋体" w:eastAsia="宋体"/>
                <w:bCs/>
                <w:color w:val="auto"/>
                <w:sz w:val="21"/>
                <w:szCs w:val="21"/>
                <w:highlight w:val="none"/>
                <w:lang w:val="en-US" w:eastAsia="zh-Hans"/>
              </w:rPr>
              <w:t>；</w:t>
            </w:r>
          </w:p>
          <w:p>
            <w:pPr>
              <w:spacing w:line="360" w:lineRule="auto"/>
              <w:rPr>
                <w:rFonts w:ascii="宋体" w:hAnsi="宋体" w:eastAsia="宋体"/>
                <w:color w:val="auto"/>
                <w:sz w:val="21"/>
                <w:szCs w:val="21"/>
                <w:highlight w:val="none"/>
                <w:lang w:val="en-US" w:eastAsia="zh-Hans"/>
              </w:rPr>
            </w:pPr>
            <w:r>
              <w:rPr>
                <w:rFonts w:hint="eastAsia" w:ascii="宋体" w:hAnsi="宋体" w:eastAsia="宋体"/>
                <w:bCs/>
                <w:color w:val="auto"/>
                <w:sz w:val="21"/>
                <w:szCs w:val="21"/>
                <w:highlight w:val="none"/>
                <w:lang w:val="en-US" w:eastAsia="zh-Hans"/>
              </w:rPr>
              <w:t>未提供不得分。</w:t>
            </w:r>
          </w:p>
        </w:tc>
        <w:tc>
          <w:tcPr>
            <w:tcW w:w="868" w:type="dxa"/>
            <w:vAlign w:val="center"/>
          </w:tcPr>
          <w:p>
            <w:pPr>
              <w:snapToGrid w:val="0"/>
              <w:spacing w:line="360" w:lineRule="auto"/>
              <w:jc w:val="center"/>
              <w:rPr>
                <w:rFonts w:ascii="宋体" w:hAnsi="宋体" w:eastAsia="宋体"/>
                <w:b/>
                <w:bCs/>
                <w:color w:val="auto"/>
                <w:sz w:val="21"/>
                <w:szCs w:val="21"/>
                <w:highlight w:val="none"/>
              </w:rPr>
            </w:pPr>
            <w:r>
              <w:rPr>
                <w:rFonts w:ascii="宋体" w:hAnsi="宋体" w:eastAsia="宋体"/>
                <w:b/>
                <w:bCs/>
                <w:color w:val="auto"/>
                <w:sz w:val="21"/>
                <w:szCs w:val="21"/>
                <w:highlight w:val="none"/>
              </w:rPr>
              <w:t>10</w:t>
            </w:r>
          </w:p>
        </w:tc>
        <w:tc>
          <w:tcPr>
            <w:tcW w:w="868" w:type="dxa"/>
            <w:vAlign w:val="center"/>
          </w:tcPr>
          <w:p>
            <w:pPr>
              <w:snapToGrid w:val="0"/>
              <w:spacing w:line="360" w:lineRule="auto"/>
              <w:jc w:val="center"/>
              <w:rPr>
                <w:rFonts w:ascii="宋体" w:hAnsi="宋体" w:eastAsia="宋体"/>
                <w:b/>
                <w:bCs/>
                <w:color w:val="auto"/>
                <w:sz w:val="21"/>
                <w:szCs w:val="21"/>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spacing w:line="360" w:lineRule="auto"/>
              <w:jc w:val="center"/>
              <w:rPr>
                <w:rFonts w:ascii="宋体" w:hAnsi="宋体" w:eastAsia="宋体"/>
                <w:b/>
                <w:color w:val="auto"/>
                <w:sz w:val="21"/>
                <w:szCs w:val="21"/>
                <w:highlight w:val="none"/>
              </w:rPr>
            </w:pPr>
            <w:r>
              <w:rPr>
                <w:rFonts w:ascii="宋体" w:hAnsi="宋体" w:eastAsia="宋体"/>
                <w:b/>
                <w:color w:val="auto"/>
                <w:sz w:val="21"/>
                <w:szCs w:val="21"/>
                <w:highlight w:val="none"/>
              </w:rPr>
              <w:t>2.5</w:t>
            </w:r>
          </w:p>
        </w:tc>
        <w:tc>
          <w:tcPr>
            <w:tcW w:w="1113" w:type="dxa"/>
            <w:vAlign w:val="center"/>
          </w:tcPr>
          <w:p>
            <w:pPr>
              <w:spacing w:line="360" w:lineRule="auto"/>
              <w:jc w:val="center"/>
              <w:rPr>
                <w:rFonts w:ascii="宋体" w:hAnsi="宋体" w:eastAsia="宋体"/>
                <w:b/>
                <w:color w:val="auto"/>
                <w:sz w:val="21"/>
                <w:szCs w:val="21"/>
                <w:highlight w:val="none"/>
                <w:lang w:val="en-US" w:eastAsia="zh-Hans"/>
              </w:rPr>
            </w:pPr>
            <w:r>
              <w:rPr>
                <w:rFonts w:hint="eastAsia" w:ascii="宋体" w:hAnsi="宋体" w:eastAsia="宋体"/>
                <w:b/>
                <w:color w:val="auto"/>
                <w:sz w:val="21"/>
                <w:szCs w:val="21"/>
                <w:highlight w:val="none"/>
                <w:lang w:val="en-US" w:eastAsia="zh-CN"/>
              </w:rPr>
              <w:t>风险</w:t>
            </w:r>
            <w:r>
              <w:rPr>
                <w:rFonts w:hint="eastAsia" w:ascii="宋体" w:hAnsi="宋体" w:eastAsia="宋体"/>
                <w:b/>
                <w:color w:val="auto"/>
                <w:sz w:val="21"/>
                <w:szCs w:val="21"/>
                <w:highlight w:val="none"/>
                <w:lang w:val="en-US" w:eastAsia="zh-Hans"/>
              </w:rPr>
              <w:t>预案</w:t>
            </w:r>
          </w:p>
        </w:tc>
        <w:tc>
          <w:tcPr>
            <w:tcW w:w="6951" w:type="dxa"/>
            <w:vAlign w:val="center"/>
          </w:tcPr>
          <w:p>
            <w:pPr>
              <w:snapToGrid w:val="0"/>
              <w:spacing w:line="360" w:lineRule="auto"/>
              <w:rPr>
                <w:rFonts w:ascii="宋体" w:hAnsi="宋体" w:eastAsia="宋体"/>
                <w:bCs/>
                <w:color w:val="auto"/>
                <w:sz w:val="21"/>
                <w:szCs w:val="21"/>
                <w:highlight w:val="none"/>
                <w:lang w:val="en-US"/>
              </w:rPr>
            </w:pPr>
            <w:r>
              <w:rPr>
                <w:rFonts w:hint="eastAsia" w:ascii="宋体" w:hAnsi="宋体" w:eastAsia="宋体"/>
                <w:bCs/>
                <w:color w:val="auto"/>
                <w:sz w:val="21"/>
                <w:szCs w:val="21"/>
                <w:highlight w:val="none"/>
                <w:lang w:val="en-US" w:eastAsia="zh-Hans"/>
              </w:rPr>
              <w:t>供应商</w:t>
            </w:r>
            <w:r>
              <w:rPr>
                <w:rFonts w:hint="eastAsia" w:ascii="宋体" w:hAnsi="宋体" w:eastAsia="宋体"/>
                <w:bCs/>
                <w:color w:val="auto"/>
                <w:sz w:val="21"/>
                <w:szCs w:val="21"/>
                <w:highlight w:val="none"/>
                <w:lang w:val="en-US"/>
              </w:rPr>
              <w:t>针对本项目</w:t>
            </w:r>
            <w:r>
              <w:rPr>
                <w:rFonts w:hint="eastAsia" w:ascii="宋体" w:hAnsi="宋体" w:eastAsia="宋体"/>
                <w:bCs/>
                <w:color w:val="auto"/>
                <w:sz w:val="21"/>
                <w:szCs w:val="21"/>
                <w:highlight w:val="none"/>
                <w:lang w:val="en-US" w:eastAsia="zh-Hans"/>
              </w:rPr>
              <w:t>结合自身经验，提出的在</w:t>
            </w:r>
            <w:r>
              <w:rPr>
                <w:rFonts w:hint="eastAsia" w:ascii="宋体" w:hAnsi="宋体" w:eastAsia="宋体"/>
                <w:bCs/>
                <w:color w:val="auto"/>
                <w:sz w:val="21"/>
                <w:szCs w:val="21"/>
                <w:highlight w:val="none"/>
                <w:lang w:val="en-US"/>
              </w:rPr>
              <w:t>实施过程中可能</w:t>
            </w:r>
            <w:r>
              <w:rPr>
                <w:rFonts w:hint="eastAsia" w:ascii="宋体" w:hAnsi="宋体" w:eastAsia="宋体"/>
                <w:bCs/>
                <w:color w:val="auto"/>
                <w:sz w:val="21"/>
                <w:szCs w:val="21"/>
                <w:highlight w:val="none"/>
                <w:lang w:val="en-US" w:eastAsia="zh-Hans"/>
              </w:rPr>
              <w:t>预见的影响文物保护修复的问题分析或其他可能发生的事项以及解决办法综合评分</w:t>
            </w:r>
            <w:r>
              <w:rPr>
                <w:rFonts w:hint="eastAsia" w:ascii="宋体" w:hAnsi="宋体" w:eastAsia="宋体"/>
                <w:bCs/>
                <w:color w:val="auto"/>
                <w:sz w:val="21"/>
                <w:szCs w:val="21"/>
                <w:highlight w:val="none"/>
                <w:lang w:val="en-US"/>
              </w:rPr>
              <w:t>。</w:t>
            </w:r>
          </w:p>
          <w:p>
            <w:pPr>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考虑全面、解决办法科学、高效，</w:t>
            </w:r>
            <w:r>
              <w:rPr>
                <w:rFonts w:hint="eastAsia" w:ascii="宋体" w:hAnsi="宋体" w:eastAsia="宋体"/>
                <w:bCs/>
                <w:color w:val="auto"/>
                <w:sz w:val="21"/>
                <w:szCs w:val="21"/>
                <w:highlight w:val="none"/>
                <w:lang w:val="en-US"/>
              </w:rPr>
              <w:t>针对性</w:t>
            </w:r>
            <w:r>
              <w:rPr>
                <w:rFonts w:hint="eastAsia" w:ascii="宋体" w:hAnsi="宋体" w:eastAsia="宋体"/>
                <w:bCs/>
                <w:color w:val="auto"/>
                <w:sz w:val="21"/>
                <w:szCs w:val="21"/>
                <w:highlight w:val="none"/>
                <w:lang w:val="en-US" w:eastAsia="zh-Hans"/>
              </w:rPr>
              <w:t>强</w:t>
            </w:r>
            <w:r>
              <w:rPr>
                <w:rFonts w:hint="eastAsia" w:ascii="宋体" w:hAnsi="宋体" w:eastAsia="宋体"/>
                <w:bCs/>
                <w:color w:val="auto"/>
                <w:sz w:val="21"/>
                <w:szCs w:val="21"/>
                <w:highlight w:val="none"/>
                <w:lang w:val="en-US"/>
              </w:rPr>
              <w:t>的得</w:t>
            </w:r>
            <w:r>
              <w:rPr>
                <w:rFonts w:ascii="宋体" w:hAnsi="宋体" w:eastAsia="宋体"/>
                <w:bCs/>
                <w:color w:val="auto"/>
                <w:sz w:val="21"/>
                <w:szCs w:val="21"/>
                <w:highlight w:val="none"/>
              </w:rPr>
              <w:t>10</w:t>
            </w:r>
            <w:r>
              <w:rPr>
                <w:rFonts w:hint="eastAsia" w:ascii="宋体" w:hAnsi="宋体" w:eastAsia="宋体"/>
                <w:bCs/>
                <w:color w:val="auto"/>
                <w:sz w:val="21"/>
                <w:szCs w:val="21"/>
                <w:highlight w:val="none"/>
                <w:lang w:val="en-US"/>
              </w:rPr>
              <w:t>分</w:t>
            </w:r>
            <w:r>
              <w:rPr>
                <w:rFonts w:hint="eastAsia" w:ascii="宋体" w:hAnsi="宋体" w:eastAsia="宋体"/>
                <w:bCs/>
                <w:color w:val="auto"/>
                <w:sz w:val="21"/>
                <w:szCs w:val="21"/>
                <w:highlight w:val="none"/>
                <w:lang w:val="en-US" w:eastAsia="zh-Hans"/>
              </w:rPr>
              <w:t>；</w:t>
            </w:r>
          </w:p>
          <w:p>
            <w:pPr>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考虑全面、解决办法科学、高效，</w:t>
            </w:r>
            <w:r>
              <w:rPr>
                <w:rFonts w:hint="eastAsia" w:ascii="宋体" w:hAnsi="宋体" w:eastAsia="宋体"/>
                <w:bCs/>
                <w:color w:val="auto"/>
                <w:sz w:val="21"/>
                <w:szCs w:val="21"/>
                <w:highlight w:val="none"/>
                <w:lang w:val="en-US"/>
              </w:rPr>
              <w:t>针对性</w:t>
            </w:r>
            <w:r>
              <w:rPr>
                <w:rFonts w:hint="eastAsia" w:ascii="宋体" w:hAnsi="宋体" w:eastAsia="宋体"/>
                <w:bCs/>
                <w:color w:val="auto"/>
                <w:sz w:val="21"/>
                <w:szCs w:val="21"/>
                <w:highlight w:val="none"/>
                <w:lang w:val="en-US" w:eastAsia="zh-Hans"/>
              </w:rPr>
              <w:t>较强</w:t>
            </w:r>
            <w:r>
              <w:rPr>
                <w:rFonts w:hint="eastAsia" w:ascii="宋体" w:hAnsi="宋体" w:eastAsia="宋体"/>
                <w:bCs/>
                <w:color w:val="auto"/>
                <w:sz w:val="21"/>
                <w:szCs w:val="21"/>
                <w:highlight w:val="none"/>
                <w:lang w:val="en-US"/>
              </w:rPr>
              <w:t>的得</w:t>
            </w:r>
            <w:r>
              <w:rPr>
                <w:rFonts w:ascii="宋体" w:hAnsi="宋体" w:eastAsia="宋体"/>
                <w:bCs/>
                <w:color w:val="auto"/>
                <w:sz w:val="21"/>
                <w:szCs w:val="21"/>
                <w:highlight w:val="none"/>
              </w:rPr>
              <w:t>7</w:t>
            </w:r>
            <w:r>
              <w:rPr>
                <w:rFonts w:hint="eastAsia" w:ascii="宋体" w:hAnsi="宋体" w:eastAsia="宋体"/>
                <w:bCs/>
                <w:color w:val="auto"/>
                <w:sz w:val="21"/>
                <w:szCs w:val="21"/>
                <w:highlight w:val="none"/>
                <w:lang w:val="en-US"/>
              </w:rPr>
              <w:t>分</w:t>
            </w:r>
            <w:r>
              <w:rPr>
                <w:rFonts w:hint="eastAsia" w:ascii="宋体" w:hAnsi="宋体" w:eastAsia="宋体"/>
                <w:bCs/>
                <w:color w:val="auto"/>
                <w:sz w:val="21"/>
                <w:szCs w:val="21"/>
                <w:highlight w:val="none"/>
                <w:lang w:val="en-US" w:eastAsia="zh-Hans"/>
              </w:rPr>
              <w:t>；</w:t>
            </w:r>
          </w:p>
          <w:p>
            <w:pPr>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考虑较全面、解决办法欠科学，</w:t>
            </w:r>
            <w:r>
              <w:rPr>
                <w:rFonts w:hint="eastAsia" w:ascii="宋体" w:hAnsi="宋体" w:eastAsia="宋体"/>
                <w:bCs/>
                <w:color w:val="auto"/>
                <w:sz w:val="21"/>
                <w:szCs w:val="21"/>
                <w:highlight w:val="none"/>
                <w:lang w:val="en-US"/>
              </w:rPr>
              <w:t>针对性</w:t>
            </w:r>
            <w:r>
              <w:rPr>
                <w:rFonts w:hint="eastAsia" w:ascii="宋体" w:hAnsi="宋体" w:eastAsia="宋体"/>
                <w:bCs/>
                <w:color w:val="auto"/>
                <w:sz w:val="21"/>
                <w:szCs w:val="21"/>
                <w:highlight w:val="none"/>
                <w:lang w:val="en-US" w:eastAsia="zh-Hans"/>
              </w:rPr>
              <w:t>欠缺的</w:t>
            </w:r>
            <w:r>
              <w:rPr>
                <w:rFonts w:hint="eastAsia" w:ascii="宋体" w:hAnsi="宋体" w:eastAsia="宋体"/>
                <w:bCs/>
                <w:color w:val="auto"/>
                <w:sz w:val="21"/>
                <w:szCs w:val="21"/>
                <w:highlight w:val="none"/>
                <w:lang w:val="en-US"/>
              </w:rPr>
              <w:t>得</w:t>
            </w:r>
            <w:r>
              <w:rPr>
                <w:rFonts w:hint="eastAsia" w:ascii="宋体" w:hAnsi="宋体" w:eastAsia="宋体"/>
                <w:bCs/>
                <w:color w:val="auto"/>
                <w:sz w:val="21"/>
                <w:szCs w:val="21"/>
                <w:highlight w:val="none"/>
                <w:lang w:val="en-US" w:eastAsia="zh-CN"/>
              </w:rPr>
              <w:t>4</w:t>
            </w:r>
            <w:r>
              <w:rPr>
                <w:rFonts w:hint="eastAsia" w:ascii="宋体" w:hAnsi="宋体" w:eastAsia="宋体"/>
                <w:bCs/>
                <w:color w:val="auto"/>
                <w:sz w:val="21"/>
                <w:szCs w:val="21"/>
                <w:highlight w:val="none"/>
                <w:lang w:val="en-US"/>
              </w:rPr>
              <w:t>分</w:t>
            </w:r>
            <w:r>
              <w:rPr>
                <w:rFonts w:hint="eastAsia" w:ascii="宋体" w:hAnsi="宋体" w:eastAsia="宋体"/>
                <w:bCs/>
                <w:color w:val="auto"/>
                <w:sz w:val="21"/>
                <w:szCs w:val="21"/>
                <w:highlight w:val="none"/>
                <w:lang w:val="en-US" w:eastAsia="zh-Hans"/>
              </w:rPr>
              <w:t>；</w:t>
            </w:r>
          </w:p>
          <w:p>
            <w:pPr>
              <w:spacing w:line="360" w:lineRule="auto"/>
              <w:rPr>
                <w:rFonts w:ascii="宋体" w:hAnsi="宋体" w:eastAsia="宋体"/>
                <w:bCs/>
                <w:color w:val="auto"/>
                <w:sz w:val="21"/>
                <w:szCs w:val="21"/>
                <w:highlight w:val="none"/>
                <w:lang w:val="en-US" w:eastAsia="zh-Hans"/>
              </w:rPr>
            </w:pPr>
            <w:r>
              <w:rPr>
                <w:rFonts w:hint="eastAsia" w:ascii="宋体" w:hAnsi="宋体" w:eastAsia="宋体"/>
                <w:bCs/>
                <w:color w:val="auto"/>
                <w:sz w:val="21"/>
                <w:szCs w:val="21"/>
                <w:highlight w:val="none"/>
                <w:lang w:val="en-US" w:eastAsia="zh-Hans"/>
              </w:rPr>
              <w:t>未提供不得分</w:t>
            </w:r>
            <w:r>
              <w:rPr>
                <w:rFonts w:hint="eastAsia" w:ascii="宋体" w:hAnsi="宋体" w:eastAsia="宋体"/>
                <w:bCs/>
                <w:color w:val="auto"/>
                <w:sz w:val="21"/>
                <w:szCs w:val="21"/>
                <w:highlight w:val="none"/>
                <w:lang w:val="en-US"/>
              </w:rPr>
              <w:t>。</w:t>
            </w:r>
          </w:p>
        </w:tc>
        <w:tc>
          <w:tcPr>
            <w:tcW w:w="868" w:type="dxa"/>
            <w:vAlign w:val="center"/>
          </w:tcPr>
          <w:p>
            <w:pPr>
              <w:snapToGrid w:val="0"/>
              <w:spacing w:line="360" w:lineRule="auto"/>
              <w:jc w:val="center"/>
              <w:rPr>
                <w:rFonts w:ascii="宋体" w:hAnsi="宋体" w:eastAsia="宋体"/>
                <w:b/>
                <w:bCs/>
                <w:color w:val="auto"/>
                <w:sz w:val="21"/>
                <w:szCs w:val="21"/>
                <w:highlight w:val="none"/>
              </w:rPr>
            </w:pPr>
            <w:r>
              <w:rPr>
                <w:rFonts w:ascii="宋体" w:hAnsi="宋体" w:eastAsia="宋体"/>
                <w:b/>
                <w:bCs/>
                <w:color w:val="auto"/>
                <w:sz w:val="21"/>
                <w:szCs w:val="21"/>
                <w:highlight w:val="none"/>
              </w:rPr>
              <w:t>10</w:t>
            </w:r>
          </w:p>
        </w:tc>
        <w:tc>
          <w:tcPr>
            <w:tcW w:w="868" w:type="dxa"/>
            <w:vAlign w:val="center"/>
          </w:tcPr>
          <w:p>
            <w:pPr>
              <w:snapToGrid w:val="0"/>
              <w:spacing w:line="360" w:lineRule="auto"/>
              <w:jc w:val="center"/>
              <w:rPr>
                <w:rFonts w:ascii="宋体" w:hAnsi="宋体" w:eastAsia="宋体"/>
                <w:b/>
                <w:bCs/>
                <w:color w:val="auto"/>
                <w:sz w:val="21"/>
                <w:szCs w:val="21"/>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2" w:type="dxa"/>
            <w:gridSpan w:val="5"/>
            <w:vAlign w:val="center"/>
          </w:tcPr>
          <w:p>
            <w:pPr>
              <w:snapToGrid w:val="0"/>
              <w:spacing w:line="360" w:lineRule="auto"/>
              <w:jc w:val="center"/>
              <w:rPr>
                <w:rFonts w:ascii="宋体" w:hAnsi="宋体" w:eastAsia="宋体"/>
                <w:b/>
                <w:bCs/>
                <w:color w:val="auto"/>
                <w:sz w:val="21"/>
                <w:szCs w:val="21"/>
                <w:highlight w:val="none"/>
                <w:lang w:val="en-US" w:eastAsia="zh-Hans"/>
              </w:rPr>
            </w:pPr>
            <w:r>
              <w:rPr>
                <w:rFonts w:hint="eastAsia" w:ascii="宋体" w:hAnsi="宋体" w:eastAsia="宋体"/>
                <w:b/>
                <w:color w:val="auto"/>
                <w:sz w:val="21"/>
                <w:szCs w:val="21"/>
                <w:highlight w:val="none"/>
                <w:lang w:val="en-US" w:eastAsia="zh-CN"/>
              </w:rPr>
              <w:t>三</w:t>
            </w:r>
            <w:r>
              <w:rPr>
                <w:rFonts w:hint="eastAsia" w:ascii="宋体" w:hAnsi="宋体" w:eastAsia="宋体"/>
                <w:b/>
                <w:color w:val="auto"/>
                <w:sz w:val="21"/>
                <w:szCs w:val="21"/>
                <w:highlight w:val="none"/>
                <w:lang w:val="en-US" w:eastAsia="zh-Hans"/>
              </w:rPr>
              <w:t>、</w:t>
            </w:r>
            <w:r>
              <w:rPr>
                <w:rFonts w:hint="eastAsia" w:ascii="宋体" w:hAnsi="宋体" w:eastAsia="宋体"/>
                <w:b/>
                <w:color w:val="auto"/>
                <w:sz w:val="21"/>
                <w:szCs w:val="21"/>
                <w:highlight w:val="none"/>
                <w:lang w:val="en-US" w:eastAsia="zh-CN"/>
              </w:rPr>
              <w:t>商务</w:t>
            </w:r>
            <w:r>
              <w:rPr>
                <w:rFonts w:hint="eastAsia" w:ascii="宋体" w:hAnsi="宋体" w:eastAsia="宋体"/>
                <w:b/>
                <w:color w:val="auto"/>
                <w:sz w:val="21"/>
                <w:szCs w:val="21"/>
                <w:highlight w:val="none"/>
                <w:lang w:val="en-US" w:eastAsia="zh-Hans"/>
              </w:rPr>
              <w:t>评审（</w:t>
            </w:r>
            <w:r>
              <w:rPr>
                <w:rFonts w:hint="eastAsia" w:ascii="宋体" w:hAnsi="宋体" w:eastAsia="宋体"/>
                <w:b/>
                <w:color w:val="auto"/>
                <w:sz w:val="21"/>
                <w:szCs w:val="21"/>
                <w:highlight w:val="none"/>
                <w:lang w:val="en-US" w:eastAsia="zh-CN"/>
              </w:rPr>
              <w:t>30</w:t>
            </w:r>
            <w:r>
              <w:rPr>
                <w:rFonts w:hint="eastAsia" w:ascii="宋体" w:hAnsi="宋体" w:eastAsia="宋体"/>
                <w:b/>
                <w:color w:val="auto"/>
                <w:sz w:val="21"/>
                <w:szCs w:val="21"/>
                <w:highlight w:val="none"/>
                <w:lang w:val="en-US"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spacing w:line="360" w:lineRule="auto"/>
              <w:jc w:val="center"/>
              <w:rPr>
                <w:rFonts w:hint="default" w:ascii="宋体" w:hAnsi="宋体" w:eastAsia="宋体"/>
                <w:b/>
                <w:color w:val="auto"/>
                <w:sz w:val="21"/>
                <w:szCs w:val="21"/>
                <w:highlight w:val="none"/>
                <w:lang w:val="en-US" w:eastAsia="zh-CN"/>
              </w:rPr>
            </w:pPr>
            <w:r>
              <w:rPr>
                <w:rFonts w:ascii="宋体" w:hAnsi="宋体" w:eastAsia="宋体"/>
                <w:b/>
                <w:color w:val="auto"/>
                <w:sz w:val="21"/>
                <w:szCs w:val="21"/>
                <w:highlight w:val="none"/>
              </w:rPr>
              <w:t>3</w:t>
            </w:r>
            <w:r>
              <w:rPr>
                <w:rFonts w:hint="eastAsia" w:ascii="宋体" w:hAnsi="宋体" w:eastAsia="宋体"/>
                <w:b/>
                <w:color w:val="auto"/>
                <w:sz w:val="21"/>
                <w:szCs w:val="21"/>
                <w:highlight w:val="none"/>
                <w:lang w:val="en-US" w:eastAsia="zh-CN"/>
              </w:rPr>
              <w:t>.1</w:t>
            </w:r>
          </w:p>
        </w:tc>
        <w:tc>
          <w:tcPr>
            <w:tcW w:w="1113" w:type="dxa"/>
            <w:vAlign w:val="center"/>
          </w:tcPr>
          <w:p>
            <w:pPr>
              <w:spacing w:line="360" w:lineRule="auto"/>
              <w:jc w:val="center"/>
              <w:rPr>
                <w:rFonts w:ascii="宋体" w:hAnsi="宋体" w:eastAsia="宋体"/>
                <w:b/>
                <w:color w:val="auto"/>
                <w:sz w:val="21"/>
                <w:szCs w:val="21"/>
                <w:highlight w:val="none"/>
                <w:lang w:val="en-US" w:eastAsia="zh-Hans"/>
              </w:rPr>
            </w:pPr>
            <w:r>
              <w:rPr>
                <w:rFonts w:hint="eastAsia" w:ascii="宋体" w:hAnsi="宋体" w:eastAsia="宋体"/>
                <w:b/>
                <w:color w:val="auto"/>
                <w:sz w:val="21"/>
                <w:szCs w:val="21"/>
                <w:highlight w:val="none"/>
                <w:lang w:val="en-US" w:eastAsia="zh-Hans"/>
              </w:rPr>
              <w:t>售后服务方案</w:t>
            </w:r>
          </w:p>
        </w:tc>
        <w:tc>
          <w:tcPr>
            <w:tcW w:w="6951" w:type="dxa"/>
            <w:vAlign w:val="center"/>
          </w:tcPr>
          <w:p>
            <w:pPr>
              <w:spacing w:line="360" w:lineRule="auto"/>
              <w:rPr>
                <w:rFonts w:ascii="宋体" w:hAnsi="宋体" w:eastAsia="宋体"/>
                <w:color w:val="auto"/>
                <w:sz w:val="21"/>
                <w:szCs w:val="21"/>
                <w:highlight w:val="none"/>
                <w:lang w:val="en-US" w:eastAsia="zh-Hans"/>
              </w:rPr>
            </w:pPr>
            <w:r>
              <w:rPr>
                <w:rFonts w:hint="eastAsia" w:ascii="宋体" w:hAnsi="宋体" w:eastAsia="宋体"/>
                <w:color w:val="auto"/>
                <w:sz w:val="21"/>
                <w:szCs w:val="21"/>
                <w:highlight w:val="none"/>
                <w:lang w:val="en-US" w:eastAsia="zh-Hans"/>
              </w:rPr>
              <w:t>根据供应商提供的免费质保期内的服务方案综合评分，方案包含：定期维护保养的内容和时间；出现质量问题的响应力度、响应时间</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lang w:val="en-US" w:eastAsia="zh-Hans"/>
              </w:rPr>
              <w:t>质量标准；售后人员的投入、技术水平；质保的范围；技术培训（保存管理过程中应注意的事项、解决办法等）以及供应商提供的其他质保服务内容或承诺。</w:t>
            </w:r>
          </w:p>
          <w:p>
            <w:pPr>
              <w:spacing w:line="360" w:lineRule="auto"/>
              <w:rPr>
                <w:rFonts w:ascii="宋体" w:hAnsi="宋体" w:eastAsia="宋体" w:cs="宋体"/>
                <w:bCs/>
                <w:color w:val="auto"/>
                <w:sz w:val="21"/>
                <w:szCs w:val="21"/>
                <w:highlight w:val="none"/>
                <w:lang w:val="en-US" w:eastAsia="zh-Hans"/>
              </w:rPr>
            </w:pPr>
            <w:r>
              <w:rPr>
                <w:rFonts w:hint="eastAsia" w:ascii="宋体" w:hAnsi="宋体" w:eastAsia="宋体" w:cs="宋体"/>
                <w:bCs/>
                <w:color w:val="auto"/>
                <w:sz w:val="21"/>
                <w:szCs w:val="21"/>
                <w:highlight w:val="none"/>
                <w:lang w:val="en-US" w:eastAsia="zh-Hans"/>
              </w:rPr>
              <w:t>方案全面、完善，服务标准高，内容合理、可行、可信度高的得</w:t>
            </w:r>
            <w:r>
              <w:rPr>
                <w:rFonts w:ascii="宋体" w:hAnsi="宋体" w:eastAsia="宋体" w:cs="宋体"/>
                <w:bCs/>
                <w:color w:val="auto"/>
                <w:sz w:val="21"/>
                <w:szCs w:val="21"/>
                <w:highlight w:val="none"/>
                <w:lang w:eastAsia="zh-Hans"/>
              </w:rPr>
              <w:t>1</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en-US" w:eastAsia="zh-Hans"/>
              </w:rPr>
              <w:t>分；</w:t>
            </w:r>
          </w:p>
          <w:p>
            <w:pPr>
              <w:spacing w:line="360" w:lineRule="auto"/>
              <w:rPr>
                <w:rFonts w:ascii="宋体" w:hAnsi="宋体" w:eastAsia="宋体" w:cs="宋体"/>
                <w:bCs/>
                <w:color w:val="auto"/>
                <w:sz w:val="21"/>
                <w:szCs w:val="21"/>
                <w:highlight w:val="none"/>
                <w:lang w:val="en-US" w:eastAsia="zh-Hans"/>
              </w:rPr>
            </w:pPr>
            <w:r>
              <w:rPr>
                <w:rFonts w:hint="eastAsia" w:ascii="宋体" w:hAnsi="宋体" w:eastAsia="宋体" w:cs="宋体"/>
                <w:bCs/>
                <w:color w:val="auto"/>
                <w:sz w:val="21"/>
                <w:szCs w:val="21"/>
                <w:highlight w:val="none"/>
                <w:lang w:val="en-US" w:eastAsia="zh-Hans"/>
              </w:rPr>
              <w:t>方案较全面、较完善，服务标准较高，内容较合理、可行、可信度较高的得</w:t>
            </w:r>
            <w:r>
              <w:rPr>
                <w:rFonts w:ascii="宋体" w:hAnsi="宋体" w:eastAsia="宋体" w:cs="宋体"/>
                <w:bCs/>
                <w:color w:val="auto"/>
                <w:sz w:val="21"/>
                <w:szCs w:val="21"/>
                <w:highlight w:val="none"/>
                <w:lang w:eastAsia="zh-Hans"/>
              </w:rPr>
              <w:t>6</w:t>
            </w:r>
            <w:r>
              <w:rPr>
                <w:rFonts w:hint="eastAsia" w:ascii="宋体" w:hAnsi="宋体" w:eastAsia="宋体" w:cs="宋体"/>
                <w:bCs/>
                <w:color w:val="auto"/>
                <w:sz w:val="21"/>
                <w:szCs w:val="21"/>
                <w:highlight w:val="none"/>
                <w:lang w:val="en-US" w:eastAsia="zh-Hans"/>
              </w:rPr>
              <w:t>分；</w:t>
            </w:r>
          </w:p>
          <w:p>
            <w:pPr>
              <w:spacing w:line="360" w:lineRule="auto"/>
              <w:rPr>
                <w:rFonts w:ascii="宋体" w:hAnsi="宋体" w:eastAsia="宋体" w:cs="宋体"/>
                <w:bCs/>
                <w:color w:val="auto"/>
                <w:sz w:val="21"/>
                <w:szCs w:val="21"/>
                <w:highlight w:val="none"/>
                <w:lang w:val="en-US" w:eastAsia="zh-Hans"/>
              </w:rPr>
            </w:pPr>
            <w:r>
              <w:rPr>
                <w:rFonts w:hint="eastAsia" w:ascii="宋体" w:hAnsi="宋体" w:eastAsia="宋体" w:cs="宋体"/>
                <w:bCs/>
                <w:color w:val="auto"/>
                <w:sz w:val="21"/>
                <w:szCs w:val="21"/>
                <w:highlight w:val="none"/>
                <w:lang w:val="en-US" w:eastAsia="zh-Hans"/>
              </w:rPr>
              <w:t>方案较全面、较完善，服务标准较高或不明确，内容基本合理、可行、可信度不高的得</w:t>
            </w:r>
            <w:r>
              <w:rPr>
                <w:rFonts w:ascii="宋体" w:hAnsi="宋体" w:eastAsia="宋体" w:cs="宋体"/>
                <w:bCs/>
                <w:color w:val="auto"/>
                <w:sz w:val="21"/>
                <w:szCs w:val="21"/>
                <w:highlight w:val="none"/>
                <w:lang w:eastAsia="zh-Hans"/>
              </w:rPr>
              <w:t>3</w:t>
            </w:r>
            <w:r>
              <w:rPr>
                <w:rFonts w:hint="eastAsia" w:ascii="宋体" w:hAnsi="宋体" w:eastAsia="宋体" w:cs="宋体"/>
                <w:bCs/>
                <w:color w:val="auto"/>
                <w:sz w:val="21"/>
                <w:szCs w:val="21"/>
                <w:highlight w:val="none"/>
                <w:lang w:val="en-US" w:eastAsia="zh-Hans"/>
              </w:rPr>
              <w:t>分；</w:t>
            </w:r>
          </w:p>
          <w:p>
            <w:pPr>
              <w:spacing w:line="360" w:lineRule="auto"/>
              <w:rPr>
                <w:rFonts w:ascii="宋体" w:hAnsi="宋体" w:eastAsia="宋体"/>
                <w:bCs/>
                <w:color w:val="auto"/>
                <w:sz w:val="21"/>
                <w:szCs w:val="21"/>
                <w:highlight w:val="none"/>
                <w:lang w:val="en-US"/>
              </w:rPr>
            </w:pPr>
            <w:r>
              <w:rPr>
                <w:rFonts w:hint="eastAsia" w:ascii="宋体" w:hAnsi="宋体" w:eastAsia="宋体" w:cs="宋体"/>
                <w:bCs/>
                <w:color w:val="auto"/>
                <w:sz w:val="21"/>
                <w:szCs w:val="21"/>
                <w:highlight w:val="none"/>
                <w:lang w:val="en-US" w:eastAsia="zh-Hans"/>
              </w:rPr>
              <w:t>未提供不得分。</w:t>
            </w:r>
          </w:p>
        </w:tc>
        <w:tc>
          <w:tcPr>
            <w:tcW w:w="868" w:type="dxa"/>
            <w:vAlign w:val="center"/>
          </w:tcPr>
          <w:p>
            <w:pPr>
              <w:spacing w:line="360" w:lineRule="auto"/>
              <w:jc w:val="center"/>
              <w:rPr>
                <w:rFonts w:hint="eastAsia" w:ascii="宋体" w:hAnsi="宋体" w:eastAsia="宋体"/>
                <w:b/>
                <w:color w:val="auto"/>
                <w:sz w:val="21"/>
                <w:szCs w:val="21"/>
                <w:highlight w:val="none"/>
                <w:lang w:eastAsia="zh-CN"/>
              </w:rPr>
            </w:pPr>
            <w:r>
              <w:rPr>
                <w:rFonts w:ascii="宋体" w:hAnsi="宋体" w:eastAsia="宋体"/>
                <w:b/>
                <w:color w:val="auto"/>
                <w:sz w:val="21"/>
                <w:szCs w:val="21"/>
                <w:highlight w:val="none"/>
              </w:rPr>
              <w:t>1</w:t>
            </w:r>
            <w:r>
              <w:rPr>
                <w:rFonts w:hint="eastAsia" w:ascii="宋体" w:hAnsi="宋体" w:eastAsia="宋体"/>
                <w:b/>
                <w:color w:val="auto"/>
                <w:sz w:val="21"/>
                <w:szCs w:val="21"/>
                <w:highlight w:val="none"/>
                <w:lang w:val="en-US" w:eastAsia="zh-CN"/>
              </w:rPr>
              <w:t>0</w:t>
            </w:r>
          </w:p>
        </w:tc>
        <w:tc>
          <w:tcPr>
            <w:tcW w:w="868" w:type="dxa"/>
            <w:vAlign w:val="center"/>
          </w:tcPr>
          <w:p>
            <w:pPr>
              <w:spacing w:line="360" w:lineRule="auto"/>
              <w:jc w:val="center"/>
              <w:rPr>
                <w:rFonts w:ascii="宋体" w:hAnsi="宋体" w:eastAsia="宋体"/>
                <w:b/>
                <w:color w:val="auto"/>
                <w:sz w:val="21"/>
                <w:szCs w:val="21"/>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spacing w:line="360" w:lineRule="auto"/>
              <w:jc w:val="center"/>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3.2</w:t>
            </w:r>
          </w:p>
        </w:tc>
        <w:tc>
          <w:tcPr>
            <w:tcW w:w="1113" w:type="dxa"/>
            <w:vAlign w:val="center"/>
          </w:tcPr>
          <w:p>
            <w:pPr>
              <w:spacing w:line="360" w:lineRule="auto"/>
              <w:jc w:val="center"/>
              <w:rPr>
                <w:rFonts w:ascii="宋体" w:hAnsi="宋体" w:eastAsia="宋体"/>
                <w:b/>
                <w:color w:val="auto"/>
                <w:sz w:val="21"/>
                <w:szCs w:val="21"/>
                <w:highlight w:val="none"/>
                <w:lang w:val="en-US" w:eastAsia="zh-Hans"/>
              </w:rPr>
            </w:pPr>
            <w:r>
              <w:rPr>
                <w:rFonts w:hint="eastAsia" w:ascii="宋体" w:hAnsi="宋体" w:eastAsia="宋体"/>
                <w:b/>
                <w:color w:val="auto"/>
                <w:sz w:val="21"/>
                <w:szCs w:val="21"/>
                <w:highlight w:val="none"/>
                <w:lang w:val="en-US" w:eastAsia="zh-CN"/>
              </w:rPr>
              <w:t>团队</w:t>
            </w:r>
            <w:r>
              <w:rPr>
                <w:rFonts w:hint="eastAsia" w:ascii="宋体" w:hAnsi="宋体" w:eastAsia="宋体"/>
                <w:b/>
                <w:color w:val="auto"/>
                <w:sz w:val="21"/>
                <w:szCs w:val="21"/>
                <w:highlight w:val="none"/>
                <w:lang w:val="en-US" w:eastAsia="zh-Hans"/>
              </w:rPr>
              <w:t>配置</w:t>
            </w:r>
          </w:p>
        </w:tc>
        <w:tc>
          <w:tcPr>
            <w:tcW w:w="6951" w:type="dxa"/>
            <w:vAlign w:val="center"/>
          </w:tcPr>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根据供应商提供的服务于本项目</w:t>
            </w:r>
            <w:r>
              <w:rPr>
                <w:rFonts w:hint="eastAsia" w:ascii="宋体" w:hAnsi="宋体" w:eastAsia="宋体"/>
                <w:color w:val="auto"/>
                <w:sz w:val="21"/>
                <w:szCs w:val="21"/>
                <w:highlight w:val="none"/>
                <w:lang w:val="en-US" w:eastAsia="zh-Hans"/>
              </w:rPr>
              <w:t>的专业文物保护修复技术</w:t>
            </w:r>
            <w:r>
              <w:rPr>
                <w:rFonts w:hint="eastAsia" w:ascii="宋体" w:hAnsi="宋体" w:eastAsia="宋体"/>
                <w:color w:val="auto"/>
                <w:sz w:val="21"/>
                <w:szCs w:val="21"/>
                <w:highlight w:val="none"/>
              </w:rPr>
              <w:t>人员配置评分。</w:t>
            </w:r>
          </w:p>
          <w:p>
            <w:pPr>
              <w:spacing w:line="360" w:lineRule="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团队成员数量充足，结构合理的得</w:t>
            </w:r>
            <w:r>
              <w:rPr>
                <w:rFonts w:hint="eastAsia" w:ascii="宋体" w:hAnsi="宋体" w:eastAsia="宋体"/>
                <w:color w:val="auto"/>
                <w:sz w:val="21"/>
                <w:szCs w:val="21"/>
                <w:highlight w:val="none"/>
                <w:lang w:val="en-US" w:eastAsia="zh-CN"/>
              </w:rPr>
              <w:t>11分；</w:t>
            </w:r>
          </w:p>
          <w:p>
            <w:pPr>
              <w:spacing w:line="360" w:lineRule="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团队成员数量较充足，结构较合理的得</w:t>
            </w:r>
            <w:r>
              <w:rPr>
                <w:rFonts w:hint="eastAsia" w:ascii="宋体" w:hAnsi="宋体" w:eastAsia="宋体"/>
                <w:color w:val="auto"/>
                <w:sz w:val="21"/>
                <w:szCs w:val="21"/>
                <w:highlight w:val="none"/>
                <w:lang w:val="en-US" w:eastAsia="zh-CN"/>
              </w:rPr>
              <w:t>7分；</w:t>
            </w:r>
          </w:p>
          <w:p>
            <w:pPr>
              <w:spacing w:line="360" w:lineRule="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团队成员数量基本充足，结构基本合理得4分；</w:t>
            </w:r>
          </w:p>
          <w:p>
            <w:pPr>
              <w:spacing w:line="360" w:lineRule="auto"/>
              <w:rPr>
                <w:rFonts w:ascii="宋体" w:hAnsi="宋体" w:eastAsia="宋体"/>
                <w:bCs/>
                <w:color w:val="auto"/>
                <w:sz w:val="21"/>
                <w:szCs w:val="21"/>
                <w:highlight w:val="none"/>
                <w:lang w:val="en-US"/>
              </w:rPr>
            </w:pPr>
            <w:r>
              <w:rPr>
                <w:rFonts w:hint="eastAsia" w:ascii="宋体" w:hAnsi="宋体" w:eastAsia="宋体"/>
                <w:color w:val="auto"/>
                <w:sz w:val="21"/>
                <w:szCs w:val="21"/>
                <w:highlight w:val="none"/>
                <w:lang w:val="en-US" w:eastAsia="zh-Hans"/>
              </w:rPr>
              <w:t>(需提供</w:t>
            </w:r>
            <w:r>
              <w:rPr>
                <w:rFonts w:hint="eastAsia" w:ascii="宋体" w:hAnsi="宋体" w:eastAsia="宋体"/>
                <w:color w:val="auto"/>
                <w:sz w:val="21"/>
                <w:szCs w:val="21"/>
                <w:highlight w:val="none"/>
                <w:lang w:val="en-US" w:eastAsia="zh-CN"/>
              </w:rPr>
              <w:t>团队名单，成员专业技术职称</w:t>
            </w:r>
            <w:r>
              <w:rPr>
                <w:rFonts w:hint="eastAsia" w:ascii="宋体" w:hAnsi="宋体" w:eastAsia="宋体"/>
                <w:color w:val="auto"/>
                <w:sz w:val="21"/>
                <w:szCs w:val="21"/>
                <w:highlight w:val="none"/>
                <w:lang w:val="en-US" w:eastAsia="zh-Hans"/>
              </w:rPr>
              <w:t>证书扫描件或复印件</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lang w:val="en-US" w:eastAsia="zh-Hans"/>
              </w:rPr>
              <w:t>以及由投标人与之签订的劳动合同等证明材料）。未提供者</w:t>
            </w:r>
            <w:bookmarkStart w:id="0" w:name="_GoBack"/>
            <w:bookmarkEnd w:id="0"/>
            <w:r>
              <w:rPr>
                <w:rFonts w:hint="eastAsia" w:ascii="宋体" w:hAnsi="宋体" w:eastAsia="宋体"/>
                <w:color w:val="auto"/>
                <w:sz w:val="21"/>
                <w:szCs w:val="21"/>
                <w:highlight w:val="none"/>
                <w:lang w:val="en-US" w:eastAsia="zh-Hans"/>
              </w:rPr>
              <w:t>不得分。</w:t>
            </w:r>
          </w:p>
        </w:tc>
        <w:tc>
          <w:tcPr>
            <w:tcW w:w="868" w:type="dxa"/>
            <w:vAlign w:val="center"/>
          </w:tcPr>
          <w:p>
            <w:pPr>
              <w:spacing w:line="360" w:lineRule="auto"/>
              <w:jc w:val="center"/>
              <w:rPr>
                <w:rFonts w:hint="default" w:ascii="宋体" w:hAnsi="宋体" w:eastAsia="宋体"/>
                <w:b/>
                <w:color w:val="000000" w:themeColor="text1"/>
                <w:sz w:val="21"/>
                <w:szCs w:val="21"/>
                <w:highlight w:val="none"/>
                <w:lang w:val="en-US" w:eastAsia="zh-CN"/>
                <w14:textFill>
                  <w14:solidFill>
                    <w14:schemeClr w14:val="tx1"/>
                  </w14:solidFill>
                </w14:textFill>
              </w:rPr>
            </w:pPr>
            <w:r>
              <w:rPr>
                <w:rFonts w:hint="eastAsia" w:ascii="宋体" w:hAnsi="宋体" w:eastAsia="宋体"/>
                <w:b/>
                <w:color w:val="000000" w:themeColor="text1"/>
                <w:sz w:val="21"/>
                <w:szCs w:val="21"/>
                <w:highlight w:val="none"/>
                <w:lang w:val="en-US" w:eastAsia="zh-CN"/>
                <w14:textFill>
                  <w14:solidFill>
                    <w14:schemeClr w14:val="tx1"/>
                  </w14:solidFill>
                </w14:textFill>
              </w:rPr>
              <w:t>11</w:t>
            </w:r>
          </w:p>
        </w:tc>
        <w:tc>
          <w:tcPr>
            <w:tcW w:w="868" w:type="dxa"/>
            <w:vAlign w:val="center"/>
          </w:tcPr>
          <w:p>
            <w:pPr>
              <w:spacing w:line="360" w:lineRule="auto"/>
              <w:jc w:val="center"/>
              <w:rPr>
                <w:rFonts w:ascii="宋体" w:hAnsi="宋体" w:eastAsia="宋体"/>
                <w:b/>
                <w:color w:val="auto"/>
                <w:sz w:val="21"/>
                <w:szCs w:val="21"/>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spacing w:line="360" w:lineRule="auto"/>
              <w:jc w:val="center"/>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3.3</w:t>
            </w:r>
          </w:p>
        </w:tc>
        <w:tc>
          <w:tcPr>
            <w:tcW w:w="1113" w:type="dxa"/>
            <w:vAlign w:val="center"/>
          </w:tcPr>
          <w:p>
            <w:pPr>
              <w:spacing w:line="360" w:lineRule="auto"/>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相关</w:t>
            </w:r>
            <w:r>
              <w:rPr>
                <w:rFonts w:hint="eastAsia" w:ascii="宋体" w:hAnsi="宋体" w:eastAsia="宋体"/>
                <w:b/>
                <w:color w:val="auto"/>
                <w:sz w:val="21"/>
                <w:szCs w:val="21"/>
                <w:highlight w:val="none"/>
              </w:rPr>
              <w:t>业绩</w:t>
            </w:r>
          </w:p>
        </w:tc>
        <w:tc>
          <w:tcPr>
            <w:tcW w:w="6951" w:type="dxa"/>
            <w:vAlign w:val="center"/>
          </w:tcPr>
          <w:p>
            <w:pPr>
              <w:spacing w:line="360" w:lineRule="auto"/>
              <w:rPr>
                <w:rFonts w:ascii="宋体" w:hAnsi="宋体" w:eastAsia="宋体"/>
                <w:color w:val="auto"/>
                <w:sz w:val="21"/>
                <w:szCs w:val="21"/>
                <w:highlight w:val="none"/>
                <w:lang w:val="en-US" w:eastAsia="zh-Hans"/>
              </w:rPr>
            </w:pPr>
            <w:r>
              <w:rPr>
                <w:rFonts w:hint="eastAsia" w:ascii="宋体" w:hAnsi="宋体" w:eastAsia="宋体"/>
                <w:color w:val="auto"/>
                <w:sz w:val="21"/>
                <w:szCs w:val="21"/>
                <w:highlight w:val="none"/>
              </w:rPr>
              <w:t>投标人提供</w:t>
            </w:r>
            <w:r>
              <w:rPr>
                <w:rFonts w:hint="eastAsia" w:ascii="宋体" w:hAnsi="宋体" w:eastAsia="宋体"/>
                <w:color w:val="auto"/>
                <w:sz w:val="21"/>
                <w:szCs w:val="21"/>
                <w:highlight w:val="none"/>
                <w:lang w:val="en-US" w:eastAsia="zh-CN"/>
              </w:rPr>
              <w:t>2021年1月以后的</w:t>
            </w:r>
            <w:r>
              <w:rPr>
                <w:rFonts w:hint="eastAsia" w:ascii="宋体" w:hAnsi="宋体" w:eastAsia="宋体"/>
                <w:color w:val="auto"/>
                <w:sz w:val="21"/>
                <w:szCs w:val="21"/>
                <w:highlight w:val="none"/>
              </w:rPr>
              <w:t>可移动文物修复相关业绩，每个计（3）分，计满（</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）分止。(需提供合同扫描件或复印件等证明材料）。未提供者不得分。</w:t>
            </w:r>
          </w:p>
        </w:tc>
        <w:tc>
          <w:tcPr>
            <w:tcW w:w="868" w:type="dxa"/>
            <w:vAlign w:val="center"/>
          </w:tcPr>
          <w:p>
            <w:pPr>
              <w:spacing w:line="360" w:lineRule="auto"/>
              <w:jc w:val="center"/>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9</w:t>
            </w:r>
          </w:p>
        </w:tc>
        <w:tc>
          <w:tcPr>
            <w:tcW w:w="868" w:type="dxa"/>
            <w:vAlign w:val="center"/>
          </w:tcPr>
          <w:p>
            <w:pPr>
              <w:spacing w:line="360" w:lineRule="auto"/>
              <w:jc w:val="center"/>
              <w:rPr>
                <w:rFonts w:ascii="宋体" w:hAnsi="宋体" w:eastAsia="宋体"/>
                <w:b/>
                <w:color w:val="auto"/>
                <w:sz w:val="21"/>
                <w:szCs w:val="21"/>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spacing w:line="360" w:lineRule="auto"/>
              <w:jc w:val="center"/>
              <w:rPr>
                <w:rFonts w:ascii="宋体" w:hAnsi="宋体" w:eastAsia="宋体"/>
                <w:b/>
                <w:color w:val="auto"/>
                <w:sz w:val="21"/>
                <w:szCs w:val="21"/>
                <w:highlight w:val="none"/>
                <w:lang w:val="en-US"/>
              </w:rPr>
            </w:pPr>
          </w:p>
        </w:tc>
        <w:tc>
          <w:tcPr>
            <w:tcW w:w="1113" w:type="dxa"/>
            <w:vAlign w:val="center"/>
          </w:tcPr>
          <w:p>
            <w:pPr>
              <w:spacing w:line="360" w:lineRule="auto"/>
              <w:jc w:val="center"/>
              <w:rPr>
                <w:rFonts w:ascii="宋体" w:hAnsi="宋体" w:eastAsia="宋体"/>
                <w:b/>
                <w:color w:val="auto"/>
                <w:sz w:val="21"/>
                <w:szCs w:val="21"/>
                <w:highlight w:val="none"/>
                <w:lang w:val="en-US" w:eastAsia="zh-Hans"/>
              </w:rPr>
            </w:pPr>
            <w:r>
              <w:rPr>
                <w:rFonts w:hint="eastAsia" w:ascii="宋体" w:hAnsi="宋体" w:eastAsia="宋体"/>
                <w:b/>
                <w:color w:val="auto"/>
                <w:sz w:val="21"/>
                <w:szCs w:val="21"/>
                <w:highlight w:val="none"/>
                <w:lang w:val="en-US" w:eastAsia="zh-Hans"/>
              </w:rPr>
              <w:t>总分</w:t>
            </w:r>
          </w:p>
        </w:tc>
        <w:tc>
          <w:tcPr>
            <w:tcW w:w="6951" w:type="dxa"/>
            <w:vAlign w:val="center"/>
          </w:tcPr>
          <w:p>
            <w:pPr>
              <w:spacing w:line="360" w:lineRule="auto"/>
              <w:rPr>
                <w:rFonts w:ascii="宋体" w:hAnsi="宋体" w:eastAsia="宋体"/>
                <w:color w:val="auto"/>
                <w:sz w:val="21"/>
                <w:szCs w:val="21"/>
                <w:highlight w:val="none"/>
              </w:rPr>
            </w:pPr>
          </w:p>
        </w:tc>
        <w:tc>
          <w:tcPr>
            <w:tcW w:w="868" w:type="dxa"/>
            <w:vAlign w:val="center"/>
          </w:tcPr>
          <w:p>
            <w:pPr>
              <w:spacing w:line="360" w:lineRule="auto"/>
              <w:jc w:val="center"/>
              <w:rPr>
                <w:rFonts w:ascii="宋体" w:hAnsi="宋体" w:eastAsia="宋体"/>
                <w:b/>
                <w:color w:val="auto"/>
                <w:sz w:val="21"/>
                <w:szCs w:val="21"/>
                <w:highlight w:val="none"/>
              </w:rPr>
            </w:pPr>
            <w:r>
              <w:rPr>
                <w:rFonts w:ascii="宋体" w:hAnsi="宋体" w:eastAsia="宋体"/>
                <w:b/>
                <w:color w:val="auto"/>
                <w:sz w:val="21"/>
                <w:szCs w:val="21"/>
                <w:highlight w:val="none"/>
              </w:rPr>
              <w:fldChar w:fldCharType="begin"/>
            </w:r>
            <w:r>
              <w:rPr>
                <w:rFonts w:ascii="宋体" w:hAnsi="宋体" w:eastAsia="宋体"/>
                <w:b/>
                <w:color w:val="auto"/>
                <w:sz w:val="21"/>
                <w:szCs w:val="21"/>
                <w:highlight w:val="none"/>
              </w:rPr>
              <w:instrText xml:space="preserve"> =SUM(ABOVE) \* MERGEFORMAT </w:instrText>
            </w:r>
            <w:r>
              <w:rPr>
                <w:rFonts w:ascii="宋体" w:hAnsi="宋体" w:eastAsia="宋体"/>
                <w:b/>
                <w:color w:val="auto"/>
                <w:sz w:val="21"/>
                <w:szCs w:val="21"/>
                <w:highlight w:val="none"/>
              </w:rPr>
              <w:fldChar w:fldCharType="separate"/>
            </w:r>
            <w:r>
              <w:rPr>
                <w:rFonts w:ascii="宋体" w:hAnsi="宋体" w:eastAsia="宋体"/>
                <w:b/>
                <w:color w:val="auto"/>
                <w:sz w:val="21"/>
                <w:szCs w:val="21"/>
                <w:highlight w:val="none"/>
              </w:rPr>
              <w:t>100</w:t>
            </w:r>
            <w:r>
              <w:rPr>
                <w:rFonts w:ascii="宋体" w:hAnsi="宋体" w:eastAsia="宋体"/>
                <w:b/>
                <w:color w:val="auto"/>
                <w:sz w:val="21"/>
                <w:szCs w:val="21"/>
                <w:highlight w:val="none"/>
              </w:rPr>
              <w:fldChar w:fldCharType="end"/>
            </w:r>
          </w:p>
        </w:tc>
        <w:tc>
          <w:tcPr>
            <w:tcW w:w="868" w:type="dxa"/>
            <w:vAlign w:val="center"/>
          </w:tcPr>
          <w:p>
            <w:pPr>
              <w:spacing w:line="360" w:lineRule="auto"/>
              <w:jc w:val="center"/>
              <w:rPr>
                <w:rFonts w:ascii="宋体" w:hAnsi="宋体" w:eastAsia="宋体"/>
                <w:b/>
                <w:color w:val="auto"/>
                <w:sz w:val="21"/>
                <w:szCs w:val="21"/>
                <w:highlight w:val="none"/>
                <w:lang w:val="en-U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jhmYzdlOTYxNTlmYjVlNTE2NWFjMzc4YWFkOGQifQ=="/>
  </w:docVars>
  <w:rsids>
    <w:rsidRoot w:val="2CE43D62"/>
    <w:rsid w:val="0E317CD8"/>
    <w:rsid w:val="2CE43D62"/>
    <w:rsid w:val="5EF4E7AE"/>
    <w:rsid w:val="75EF3465"/>
    <w:rsid w:val="75FD385A"/>
    <w:rsid w:val="7F7F8B46"/>
    <w:rsid w:val="E67CA6D1"/>
    <w:rsid w:val="F7FB7EC7"/>
    <w:rsid w:val="FE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Calibri" w:cstheme="minorBidi"/>
      <w:lang w:val="zh-CN"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420" w:lineRule="exact"/>
      <w:jc w:val="center"/>
    </w:pPr>
    <w:rPr>
      <w:rFonts w:ascii="Times New Roman" w:hAnsi="Times New Roman" w:eastAsia="黑体"/>
      <w:b/>
      <w:sz w:val="28"/>
      <w:lang w:val="en-GB"/>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2024-02-28T04:41:00Z</dcterms:created>
  <dc:creator>Boss猫</dc:creator>
  <cp:lastModifiedBy>uos</cp:lastModifiedBy>
  <dcterms:modified xsi:type="dcterms:W3CDTF">2024-05-07T14:26:00Z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959621FAD68F4278AD570508CC56B742_13</vt:lpwstr>
  </property>
</Properties>
</file>