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tbl>
      <w:tblPr>
        <w:tblStyle w:val="6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635"/>
        <w:gridCol w:w="720"/>
        <w:gridCol w:w="104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参数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质保期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感烟探测器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1、产品采用无极性信号二总线技术，电子编码技术，通过编码器或控制器读/写地址；2、采用指示灯闪烁的方式提示其正常工作状态，可在现场观察其运行状况；3、工作电压：24V，监视电流≤0.8mA ，使用温度：-10℃～+55℃ ，相对湿度≤95%，不结露；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声光报警器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内置CPU，无极性智能二总线工作模式（编码型）；2、用于报警时发出区域声/光报警信号；3、采用超高亮红色发光二极管作为光源，醒目、寿命长、功耗低；4、信号总线电压：24V，工作环境：室内，温度-10℃～+55℃，相对湿度≤95%(40℃±2℃无凝露)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手动报警按钮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1、外壳材质为塑料；2、额定工作电压：DC24V（DC16V-DC26V）；3、编码方式：电子编码；4、有机玻璃片在按下后可用专用工具复位；5、使用环境：户内型；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模块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1、监控电流&lt;350μA；2、动作电流&lt;20mA；3、使用环境： 温度：-10℃～+55℃ 相对湿度≤95%，不结露；4、外壳防护等级：IP30；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应急灯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1、应急光源参数：贴片白光LED，电流120mA；2、额定工作频率50HZ；3、主电功耗：3W；4、外壳防护等级：IP30，5、充电时间&lt;24小时，应急时间&gt;90分钟；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自动消防水炮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1、流量：30 L/s，额定工作压力：0.9MPa，射流半径：62 m，保护半径：55m；2、雾化角度 ≥ 90°，水平回转角360°3、环境温度 -10℃ ～ +55℃，相对湿度 ≤90%RH（+40℃）；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双波段探测器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1、额定电压：DC24V；2、额定功率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8W；3、最大探测距离60m；4、环境温度 -10℃ ～ +55℃，相对湿度 ≤90%RH（+40℃；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应急电源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1、工作电压：主电：交流AC220V/50 Hz，允许变化范围AC187V～AC264V/47 Hz～63Hz， 备电：直流DC24V，允许变化范围DC21V～DC27.6V；2、输出电压：DC36V；3、应急转换效率：＞85%；4、切换时间：0S；5、使用环境：工作温度：0℃～+55℃，相对湿度≤95%；6、外壳防护等级：IP30；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疏散/安全标志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1、工作电压：AC220V、50HZ；2、光源类型，应急时间：LED，不小于90分钟；3、使用场所：室内；4、使用环境：温度：0℃～+55℃ 相对湿度≤95%，不凝露 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喷淋头</w:t>
            </w:r>
          </w:p>
        </w:tc>
        <w:tc>
          <w:tcPr>
            <w:tcW w:w="5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1、喷头框架采用铜合金多精密锻压工艺，表面本色钝化处理；2、具有耐压强度高，反应速度快、可靠，密封圈具有耐老化、耐腐蚀的特点；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消防设备故障排查（元/天）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="0" w:leftChars="0" w:firstLine="480" w:firstLineChars="200"/>
        <w:textAlignment w:val="baseline"/>
        <w:rPr>
          <w:rFonts w:hint="eastAsia" w:ascii="宋体" w:hAnsi="宋体"/>
          <w:color w:val="000000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宋体" w:hAnsi="宋体"/>
          <w:color w:val="000000"/>
          <w:kern w:val="2"/>
          <w:sz w:val="24"/>
          <w:szCs w:val="20"/>
          <w:highlight w:val="none"/>
          <w:lang w:val="en-US" w:eastAsia="zh-CN" w:bidi="ar-SA"/>
        </w:rPr>
        <w:t>注：上表内所列配件，由承包方购买，所报单价需包含工时费、材料费、税费、管理费等相关费用。质保期以安装日期开始计算。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F0B331D"/>
    <w:rsid w:val="CF766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9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DK</cp:lastModifiedBy>
  <dcterms:modified xsi:type="dcterms:W3CDTF">2024-07-02T08:55:16Z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