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highlight w:val="none"/>
        </w:rPr>
        <w:t>河北博物院</w:t>
      </w:r>
      <w:r>
        <w:rPr>
          <w:rFonts w:hint="eastAsia" w:ascii="方正小标宋简体" w:hAnsi="方正小标宋简体" w:eastAsia="方正小标宋简体" w:cs="方正小标宋简体"/>
          <w:sz w:val="32"/>
          <w:szCs w:val="32"/>
          <w:highlight w:val="none"/>
          <w:lang w:val="en-US" w:eastAsia="zh-CN"/>
        </w:rPr>
        <w:t>2025年文博讲坛</w:t>
      </w:r>
      <w:r>
        <w:rPr>
          <w:rFonts w:hint="eastAsia" w:ascii="方正小标宋简体" w:hAnsi="方正小标宋简体" w:eastAsia="方正小标宋简体" w:cs="方正小标宋简体"/>
          <w:sz w:val="32"/>
          <w:szCs w:val="32"/>
        </w:rPr>
        <w:t>项目评审标准</w:t>
      </w:r>
    </w:p>
    <w:tbl>
      <w:tblPr>
        <w:tblStyle w:val="12"/>
        <w:tblpPr w:leftFromText="180" w:rightFromText="180" w:vertAnchor="text" w:horzAnchor="page" w:tblpX="1470" w:tblpY="416"/>
        <w:tblOverlap w:val="never"/>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29"/>
        <w:gridCol w:w="953"/>
        <w:gridCol w:w="5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trPr>
        <w:tc>
          <w:tcPr>
            <w:tcW w:w="1428" w:type="dxa"/>
            <w:noWrap w:val="0"/>
            <w:vAlign w:val="center"/>
          </w:tcPr>
          <w:p>
            <w:pPr>
              <w:keepNext w:val="0"/>
              <w:keepLines w:val="0"/>
              <w:pageBreakBefore w:val="0"/>
              <w:widowControl w:val="0"/>
              <w:kinsoku/>
              <w:wordWrap/>
              <w:overflowPunct/>
              <w:topLinePunct w:val="0"/>
              <w:autoSpaceDE/>
              <w:autoSpaceDN/>
              <w:bidi w:val="0"/>
              <w:adjustRightInd w:val="0"/>
              <w:snapToGrid/>
              <w:spacing w:line="560" w:lineRule="exact"/>
              <w:jc w:val="center"/>
              <w:textAlignment w:val="baseline"/>
              <w:outlineLvl w:val="9"/>
              <w:rPr>
                <w:rFonts w:ascii="宋体" w:hAnsi="宋体"/>
                <w:b/>
                <w:szCs w:val="24"/>
              </w:rPr>
            </w:pPr>
            <w:r>
              <w:rPr>
                <w:rFonts w:hint="eastAsia" w:ascii="宋体" w:hAnsi="宋体"/>
                <w:b/>
                <w:szCs w:val="24"/>
              </w:rPr>
              <w:t>类别</w:t>
            </w:r>
          </w:p>
        </w:tc>
        <w:tc>
          <w:tcPr>
            <w:tcW w:w="1429" w:type="dxa"/>
            <w:noWrap w:val="0"/>
            <w:vAlign w:val="center"/>
          </w:tcPr>
          <w:p>
            <w:pPr>
              <w:keepNext w:val="0"/>
              <w:keepLines w:val="0"/>
              <w:pageBreakBefore w:val="0"/>
              <w:widowControl w:val="0"/>
              <w:kinsoku/>
              <w:wordWrap/>
              <w:overflowPunct/>
              <w:topLinePunct w:val="0"/>
              <w:autoSpaceDE/>
              <w:autoSpaceDN/>
              <w:bidi w:val="0"/>
              <w:adjustRightInd w:val="0"/>
              <w:snapToGrid/>
              <w:spacing w:line="560" w:lineRule="exact"/>
              <w:jc w:val="center"/>
              <w:textAlignment w:val="baseline"/>
              <w:outlineLvl w:val="9"/>
              <w:rPr>
                <w:rFonts w:ascii="宋体" w:hAnsi="宋体"/>
                <w:b/>
                <w:szCs w:val="24"/>
              </w:rPr>
            </w:pPr>
            <w:r>
              <w:rPr>
                <w:rFonts w:hint="eastAsia" w:ascii="宋体" w:hAnsi="宋体"/>
                <w:b/>
                <w:szCs w:val="24"/>
              </w:rPr>
              <w:t>评审项目</w:t>
            </w:r>
          </w:p>
        </w:tc>
        <w:tc>
          <w:tcPr>
            <w:tcW w:w="953" w:type="dxa"/>
            <w:noWrap w:val="0"/>
            <w:vAlign w:val="center"/>
          </w:tcPr>
          <w:p>
            <w:pPr>
              <w:keepNext w:val="0"/>
              <w:keepLines w:val="0"/>
              <w:pageBreakBefore w:val="0"/>
              <w:widowControl w:val="0"/>
              <w:kinsoku/>
              <w:wordWrap/>
              <w:overflowPunct/>
              <w:topLinePunct w:val="0"/>
              <w:autoSpaceDE/>
              <w:autoSpaceDN/>
              <w:bidi w:val="0"/>
              <w:adjustRightInd w:val="0"/>
              <w:snapToGrid/>
              <w:spacing w:line="560" w:lineRule="exact"/>
              <w:jc w:val="center"/>
              <w:textAlignment w:val="baseline"/>
              <w:outlineLvl w:val="9"/>
              <w:rPr>
                <w:rFonts w:ascii="宋体" w:hAnsi="宋体"/>
                <w:b/>
                <w:spacing w:val="-8"/>
                <w:szCs w:val="24"/>
              </w:rPr>
            </w:pPr>
            <w:r>
              <w:rPr>
                <w:rFonts w:hint="eastAsia" w:ascii="宋体" w:hAnsi="宋体"/>
                <w:b/>
                <w:spacing w:val="-8"/>
                <w:szCs w:val="24"/>
              </w:rPr>
              <w:t>标准分</w:t>
            </w:r>
          </w:p>
        </w:tc>
        <w:tc>
          <w:tcPr>
            <w:tcW w:w="5420" w:type="dxa"/>
            <w:noWrap w:val="0"/>
            <w:vAlign w:val="center"/>
          </w:tcPr>
          <w:p>
            <w:pPr>
              <w:keepNext w:val="0"/>
              <w:keepLines w:val="0"/>
              <w:pageBreakBefore w:val="0"/>
              <w:widowControl w:val="0"/>
              <w:kinsoku/>
              <w:wordWrap/>
              <w:overflowPunct/>
              <w:topLinePunct w:val="0"/>
              <w:autoSpaceDE/>
              <w:autoSpaceDN/>
              <w:bidi w:val="0"/>
              <w:adjustRightInd w:val="0"/>
              <w:snapToGrid/>
              <w:spacing w:line="560" w:lineRule="exact"/>
              <w:jc w:val="center"/>
              <w:textAlignment w:val="baseline"/>
              <w:outlineLvl w:val="9"/>
              <w:rPr>
                <w:rFonts w:ascii="宋体" w:hAnsi="宋体"/>
                <w:b/>
                <w:szCs w:val="24"/>
              </w:rPr>
            </w:pPr>
            <w:r>
              <w:rPr>
                <w:rFonts w:hint="eastAsia" w:ascii="宋体" w:hAnsi="宋体"/>
                <w:b/>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1428" w:type="dxa"/>
            <w:noWrap w:val="0"/>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报价</w:t>
            </w:r>
            <w:r>
              <w:rPr>
                <w:rFonts w:hint="eastAsia" w:ascii="宋体" w:hAnsi="宋体"/>
                <w:b/>
                <w:sz w:val="22"/>
                <w:szCs w:val="22"/>
              </w:rPr>
              <w:br w:type="textWrapping"/>
            </w:r>
            <w:r>
              <w:rPr>
                <w:rFonts w:hint="eastAsia" w:ascii="宋体" w:hAnsi="宋体"/>
                <w:b/>
                <w:sz w:val="22"/>
                <w:szCs w:val="22"/>
                <w:lang w:eastAsia="zh-CN"/>
              </w:rPr>
              <w:t>（共</w:t>
            </w:r>
            <w:r>
              <w:rPr>
                <w:rFonts w:hint="eastAsia" w:ascii="宋体" w:hAnsi="宋体"/>
                <w:b/>
                <w:sz w:val="22"/>
                <w:szCs w:val="22"/>
                <w:lang w:val="en-US" w:eastAsia="zh-CN"/>
              </w:rPr>
              <w:t>20分</w:t>
            </w:r>
            <w:r>
              <w:rPr>
                <w:rFonts w:hint="eastAsia" w:ascii="宋体" w:hAnsi="宋体"/>
                <w:b/>
                <w:sz w:val="22"/>
                <w:szCs w:val="22"/>
                <w:lang w:eastAsia="zh-CN"/>
              </w:rPr>
              <w:t>）</w:t>
            </w:r>
          </w:p>
        </w:tc>
        <w:tc>
          <w:tcPr>
            <w:tcW w:w="1429" w:type="dxa"/>
            <w:noWrap w:val="0"/>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报价分</w:t>
            </w:r>
          </w:p>
        </w:tc>
        <w:tc>
          <w:tcPr>
            <w:tcW w:w="953" w:type="dxa"/>
            <w:noWrap w:val="0"/>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default" w:ascii="宋体" w:hAnsi="宋体"/>
                <w:b/>
                <w:szCs w:val="24"/>
                <w:lang w:val="en-US"/>
              </w:rPr>
            </w:pPr>
            <w:r>
              <w:rPr>
                <w:rFonts w:hint="eastAsia" w:ascii="宋体" w:hAnsi="宋体"/>
                <w:b/>
                <w:sz w:val="22"/>
                <w:szCs w:val="22"/>
                <w:lang w:val="en-US" w:eastAsia="zh-CN"/>
              </w:rPr>
              <w:t>20</w:t>
            </w:r>
          </w:p>
        </w:tc>
        <w:tc>
          <w:tcPr>
            <w:tcW w:w="542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default"/>
                <w:lang w:val="en-US"/>
              </w:rPr>
            </w:pPr>
            <w:r>
              <w:rPr>
                <w:rFonts w:hint="eastAsia" w:ascii="宋体" w:hAnsi="宋体"/>
                <w:sz w:val="22"/>
                <w:szCs w:val="22"/>
              </w:rPr>
              <w:t>投标人报价得分＝（有效最低投标报价／该投标人报价）×</w:t>
            </w:r>
            <w:r>
              <w:rPr>
                <w:rFonts w:hint="eastAsia" w:ascii="宋体" w:hAnsi="宋体"/>
                <w:sz w:val="22"/>
                <w:szCs w:val="22"/>
                <w:lang w:val="en-US" w:eastAsia="zh-CN"/>
              </w:rPr>
              <w:t>20（保留1位小数点，第2位四舍五入，下同）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42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lang w:val="en-US" w:eastAsia="zh-CN"/>
              </w:rPr>
              <w:t>商务</w:t>
            </w:r>
            <w:r>
              <w:rPr>
                <w:rFonts w:hint="eastAsia" w:ascii="宋体" w:hAnsi="宋体"/>
                <w:b/>
                <w:sz w:val="22"/>
                <w:szCs w:val="22"/>
              </w:rPr>
              <w:t>部分</w:t>
            </w:r>
            <w:r>
              <w:rPr>
                <w:rFonts w:hint="eastAsia" w:ascii="宋体" w:hAnsi="宋体"/>
                <w:b/>
                <w:sz w:val="22"/>
                <w:szCs w:val="22"/>
              </w:rPr>
              <w:br w:type="textWrapping"/>
            </w:r>
            <w:r>
              <w:rPr>
                <w:rFonts w:hint="eastAsia" w:ascii="宋体" w:hAnsi="宋体"/>
                <w:b/>
                <w:sz w:val="22"/>
                <w:szCs w:val="22"/>
                <w:lang w:eastAsia="zh-CN"/>
              </w:rPr>
              <w:t>（共</w:t>
            </w:r>
            <w:r>
              <w:rPr>
                <w:rFonts w:hint="eastAsia" w:ascii="宋体" w:hAnsi="宋体"/>
                <w:b/>
                <w:sz w:val="22"/>
                <w:szCs w:val="22"/>
                <w:lang w:val="en-US" w:eastAsia="zh-CN"/>
              </w:rPr>
              <w:t>30分</w:t>
            </w:r>
            <w:r>
              <w:rPr>
                <w:rFonts w:hint="eastAsia" w:ascii="宋体" w:hAnsi="宋体"/>
                <w:b/>
                <w:sz w:val="22"/>
                <w:szCs w:val="22"/>
                <w:lang w:eastAsia="zh-CN"/>
              </w:rPr>
              <w:t>）</w:t>
            </w:r>
          </w:p>
        </w:tc>
        <w:tc>
          <w:tcPr>
            <w:tcW w:w="1429" w:type="dxa"/>
            <w:noWrap w:val="0"/>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b/>
                <w:szCs w:val="24"/>
              </w:rPr>
            </w:pPr>
            <w:r>
              <w:rPr>
                <w:rFonts w:hint="eastAsia" w:ascii="宋体" w:hAnsi="宋体"/>
                <w:b/>
                <w:sz w:val="22"/>
                <w:szCs w:val="22"/>
              </w:rPr>
              <w:t>商务</w:t>
            </w:r>
            <w:r>
              <w:rPr>
                <w:rFonts w:hint="eastAsia" w:ascii="宋体" w:hAnsi="宋体"/>
                <w:b/>
                <w:sz w:val="22"/>
                <w:szCs w:val="22"/>
                <w:lang w:eastAsia="zh-CN"/>
              </w:rPr>
              <w:t>要求</w:t>
            </w:r>
            <w:r>
              <w:rPr>
                <w:rFonts w:hint="eastAsia" w:ascii="宋体" w:hAnsi="宋体"/>
                <w:b/>
                <w:sz w:val="22"/>
                <w:szCs w:val="22"/>
              </w:rPr>
              <w:t>响应情况</w:t>
            </w:r>
          </w:p>
        </w:tc>
        <w:tc>
          <w:tcPr>
            <w:tcW w:w="953" w:type="dxa"/>
            <w:noWrap w:val="0"/>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default" w:ascii="宋体" w:hAnsi="宋体"/>
                <w:b/>
                <w:szCs w:val="24"/>
                <w:lang w:val="en-US"/>
              </w:rPr>
            </w:pPr>
            <w:r>
              <w:rPr>
                <w:rFonts w:hint="eastAsia" w:ascii="宋体" w:hAnsi="宋体"/>
                <w:b/>
                <w:sz w:val="22"/>
                <w:szCs w:val="22"/>
                <w:lang w:val="en-US" w:eastAsia="zh-CN"/>
              </w:rPr>
              <w:t>20</w:t>
            </w:r>
          </w:p>
        </w:tc>
        <w:tc>
          <w:tcPr>
            <w:tcW w:w="542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对供应商的商务要求响应程度进行综合比较评价：</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第一档，响应全面，描述完备、细致，完全满足且部分优于采购需求</w:t>
            </w:r>
            <w:r>
              <w:rPr>
                <w:rFonts w:hint="eastAsia" w:ascii="宋体" w:hAnsi="宋体"/>
                <w:sz w:val="22"/>
                <w:szCs w:val="22"/>
                <w:lang w:eastAsia="zh-CN"/>
              </w:rPr>
              <w:t>的</w:t>
            </w:r>
            <w:r>
              <w:rPr>
                <w:rFonts w:hint="eastAsia" w:ascii="宋体" w:hAnsi="宋体"/>
                <w:sz w:val="22"/>
                <w:szCs w:val="22"/>
              </w:rPr>
              <w:t>，得</w:t>
            </w:r>
            <w:r>
              <w:rPr>
                <w:rFonts w:hint="eastAsia" w:ascii="宋体" w:hAnsi="宋体"/>
                <w:sz w:val="22"/>
                <w:szCs w:val="22"/>
                <w:lang w:val="en-US" w:eastAsia="zh-CN"/>
              </w:rPr>
              <w:t>20</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第二档，响应较全面、细致，满足采购需求</w:t>
            </w:r>
            <w:r>
              <w:rPr>
                <w:rFonts w:hint="eastAsia" w:ascii="宋体" w:hAnsi="宋体"/>
                <w:sz w:val="22"/>
                <w:szCs w:val="22"/>
                <w:lang w:eastAsia="zh-CN"/>
              </w:rPr>
              <w:t>的</w:t>
            </w:r>
            <w:r>
              <w:rPr>
                <w:rFonts w:hint="eastAsia" w:ascii="宋体" w:hAnsi="宋体"/>
                <w:sz w:val="22"/>
                <w:szCs w:val="22"/>
              </w:rPr>
              <w:t>，得</w:t>
            </w:r>
            <w:r>
              <w:rPr>
                <w:rFonts w:hint="eastAsia" w:ascii="宋体" w:hAnsi="宋体"/>
                <w:sz w:val="22"/>
                <w:szCs w:val="22"/>
                <w:lang w:val="en-US" w:eastAsia="zh-CN"/>
              </w:rPr>
              <w:t>14</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第三档，基本响应采购需求，但有缺陷或部分一般指标不满足需求</w:t>
            </w:r>
            <w:r>
              <w:rPr>
                <w:rFonts w:hint="eastAsia" w:ascii="宋体" w:hAnsi="宋体"/>
                <w:sz w:val="22"/>
                <w:szCs w:val="22"/>
                <w:lang w:eastAsia="zh-CN"/>
              </w:rPr>
              <w:t>的</w:t>
            </w:r>
            <w:r>
              <w:rPr>
                <w:rFonts w:hint="eastAsia" w:ascii="宋体" w:hAnsi="宋体"/>
                <w:sz w:val="22"/>
                <w:szCs w:val="22"/>
              </w:rPr>
              <w:t>，得</w:t>
            </w:r>
            <w:r>
              <w:rPr>
                <w:rFonts w:hint="eastAsia" w:ascii="宋体" w:hAnsi="宋体"/>
                <w:sz w:val="22"/>
                <w:szCs w:val="22"/>
                <w:lang w:val="en-US" w:eastAsia="zh-CN"/>
              </w:rPr>
              <w:t>7</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2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p>
        </w:tc>
        <w:tc>
          <w:tcPr>
            <w:tcW w:w="1429" w:type="dxa"/>
            <w:noWrap w:val="0"/>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b/>
                <w:szCs w:val="24"/>
              </w:rPr>
            </w:pPr>
            <w:r>
              <w:rPr>
                <w:rFonts w:hint="eastAsia" w:ascii="宋体" w:hAnsi="宋体"/>
                <w:b/>
                <w:sz w:val="22"/>
                <w:szCs w:val="22"/>
              </w:rPr>
              <w:t>同类业绩</w:t>
            </w:r>
          </w:p>
        </w:tc>
        <w:tc>
          <w:tcPr>
            <w:tcW w:w="953" w:type="dxa"/>
            <w:noWrap w:val="0"/>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default" w:ascii="宋体" w:hAnsi="宋体" w:eastAsia="宋体" w:cs="Times New Roman"/>
                <w:b/>
                <w:szCs w:val="24"/>
                <w:lang w:val="en-US" w:eastAsia="zh-CN"/>
              </w:rPr>
            </w:pPr>
            <w:r>
              <w:rPr>
                <w:rFonts w:hint="eastAsia" w:ascii="宋体" w:hAnsi="宋体"/>
                <w:b/>
                <w:sz w:val="22"/>
                <w:szCs w:val="22"/>
                <w:lang w:val="en-US" w:eastAsia="zh-CN"/>
              </w:rPr>
              <w:t>10</w:t>
            </w:r>
          </w:p>
        </w:tc>
        <w:tc>
          <w:tcPr>
            <w:tcW w:w="542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lang w:val="en-US" w:eastAsia="zh-CN"/>
              </w:rPr>
              <w:t>供应商提供近两年内同类项目的合同扫描件。每提交1个得2分，此项最高得10分。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1428" w:type="dxa"/>
            <w:vMerge w:val="restart"/>
            <w:noWrap w:val="0"/>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ind w:firstLine="220" w:firstLineChars="100"/>
              <w:jc w:val="both"/>
              <w:textAlignment w:val="baseline"/>
              <w:rPr>
                <w:rFonts w:ascii="宋体" w:hAnsi="宋体"/>
                <w:b/>
                <w:szCs w:val="24"/>
              </w:rPr>
            </w:pPr>
            <w:r>
              <w:rPr>
                <w:rFonts w:hint="eastAsia" w:ascii="宋体" w:hAnsi="宋体"/>
                <w:b/>
                <w:sz w:val="22"/>
                <w:szCs w:val="22"/>
                <w:lang w:val="en-US" w:eastAsia="zh-CN"/>
              </w:rPr>
              <w:t>技术部分</w:t>
            </w:r>
            <w:r>
              <w:rPr>
                <w:rFonts w:hint="eastAsia" w:ascii="宋体" w:hAnsi="宋体"/>
                <w:b/>
                <w:sz w:val="22"/>
                <w:szCs w:val="22"/>
                <w:lang w:val="en-US" w:eastAsia="zh-CN"/>
              </w:rPr>
              <w:br w:type="textWrapping"/>
            </w:r>
            <w:r>
              <w:rPr>
                <w:rFonts w:hint="eastAsia" w:ascii="宋体" w:hAnsi="宋体"/>
                <w:b/>
                <w:sz w:val="22"/>
                <w:szCs w:val="22"/>
                <w:lang w:val="en-US" w:eastAsia="zh-CN"/>
              </w:rPr>
              <w:t>（共50分）</w:t>
            </w:r>
          </w:p>
        </w:tc>
        <w:tc>
          <w:tcPr>
            <w:tcW w:w="1429" w:type="dxa"/>
            <w:noWrap w:val="0"/>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eastAsia="zh-CN"/>
              </w:rPr>
              <w:t>实施方案</w:t>
            </w:r>
          </w:p>
        </w:tc>
        <w:tc>
          <w:tcPr>
            <w:tcW w:w="953" w:type="dxa"/>
            <w:noWrap w:val="0"/>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default" w:ascii="宋体" w:hAnsi="宋体" w:eastAsia="宋体"/>
                <w:b/>
                <w:color w:val="00B050"/>
                <w:szCs w:val="24"/>
                <w:lang w:val="en-US" w:eastAsia="zh-CN"/>
              </w:rPr>
            </w:pPr>
            <w:r>
              <w:rPr>
                <w:rFonts w:hint="eastAsia" w:ascii="宋体" w:hAnsi="宋体"/>
                <w:b/>
                <w:sz w:val="22"/>
                <w:szCs w:val="22"/>
                <w:lang w:val="en-US" w:eastAsia="zh-CN"/>
              </w:rPr>
              <w:t>30</w:t>
            </w:r>
          </w:p>
        </w:tc>
        <w:tc>
          <w:tcPr>
            <w:tcW w:w="542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根据</w:t>
            </w:r>
            <w:r>
              <w:rPr>
                <w:rFonts w:hint="eastAsia" w:ascii="宋体" w:hAnsi="宋体"/>
                <w:sz w:val="22"/>
                <w:szCs w:val="22"/>
                <w:lang w:eastAsia="zh-CN"/>
              </w:rPr>
              <w:t>供应商提供的项目实施方案进行评价</w:t>
            </w:r>
            <w:r>
              <w:rPr>
                <w:rFonts w:hint="eastAsia" w:ascii="宋体" w:hAnsi="宋体"/>
                <w:sz w:val="22"/>
                <w:szCs w:val="22"/>
              </w:rPr>
              <w:t>：</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第一档，</w:t>
            </w:r>
            <w:r>
              <w:rPr>
                <w:rFonts w:hint="eastAsia" w:ascii="宋体" w:hAnsi="宋体"/>
                <w:sz w:val="22"/>
                <w:szCs w:val="22"/>
                <w:lang w:eastAsia="zh-CN"/>
              </w:rPr>
              <w:t>项目实施方案安排科学、保障措施完善有力的</w:t>
            </w:r>
            <w:r>
              <w:rPr>
                <w:rFonts w:hint="eastAsia" w:ascii="宋体" w:hAnsi="宋体"/>
                <w:sz w:val="22"/>
                <w:szCs w:val="22"/>
              </w:rPr>
              <w:t>，得</w:t>
            </w:r>
            <w:r>
              <w:rPr>
                <w:rFonts w:hint="eastAsia" w:ascii="宋体" w:hAnsi="宋体"/>
                <w:sz w:val="22"/>
                <w:szCs w:val="22"/>
                <w:lang w:val="en-US" w:eastAsia="zh-CN"/>
              </w:rPr>
              <w:t>30</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第二档，</w:t>
            </w:r>
            <w:r>
              <w:rPr>
                <w:rFonts w:hint="eastAsia" w:ascii="宋体" w:hAnsi="宋体"/>
                <w:sz w:val="22"/>
                <w:szCs w:val="22"/>
                <w:lang w:eastAsia="zh-CN"/>
              </w:rPr>
              <w:t>项目实施方案安排较科学、保障措施较完善有力的</w:t>
            </w:r>
            <w:r>
              <w:rPr>
                <w:rFonts w:hint="eastAsia" w:ascii="宋体" w:hAnsi="宋体"/>
                <w:sz w:val="22"/>
                <w:szCs w:val="22"/>
              </w:rPr>
              <w:t>， 得</w:t>
            </w:r>
            <w:r>
              <w:rPr>
                <w:rFonts w:hint="eastAsia" w:ascii="宋体" w:hAnsi="宋体"/>
                <w:sz w:val="22"/>
                <w:szCs w:val="22"/>
                <w:lang w:val="en-US" w:eastAsia="zh-CN"/>
              </w:rPr>
              <w:t>20</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eastAsia="宋体" w:cs="Times New Roman"/>
                <w:sz w:val="22"/>
                <w:szCs w:val="22"/>
              </w:rPr>
            </w:pPr>
            <w:r>
              <w:rPr>
                <w:rFonts w:hint="eastAsia" w:ascii="宋体" w:hAnsi="宋体"/>
                <w:sz w:val="22"/>
                <w:szCs w:val="22"/>
              </w:rPr>
              <w:t>第三档，</w:t>
            </w:r>
            <w:r>
              <w:rPr>
                <w:rFonts w:hint="eastAsia" w:ascii="宋体" w:hAnsi="宋体"/>
                <w:sz w:val="22"/>
                <w:szCs w:val="22"/>
                <w:lang w:eastAsia="zh-CN"/>
              </w:rPr>
              <w:t>项目实施方案安排一般、保障措施一般的</w:t>
            </w:r>
            <w:r>
              <w:rPr>
                <w:rFonts w:hint="eastAsia" w:ascii="宋体" w:hAnsi="宋体"/>
                <w:sz w:val="22"/>
                <w:szCs w:val="22"/>
              </w:rPr>
              <w:t>，得</w:t>
            </w:r>
            <w:r>
              <w:rPr>
                <w:rFonts w:hint="eastAsia" w:ascii="宋体" w:hAnsi="宋体"/>
                <w:sz w:val="22"/>
                <w:szCs w:val="22"/>
                <w:lang w:val="en-US" w:eastAsia="zh-CN"/>
              </w:rPr>
              <w:t>10</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28" w:type="dxa"/>
            <w:vMerge w:val="continue"/>
            <w:noWrap w:val="0"/>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p>
        </w:tc>
        <w:tc>
          <w:tcPr>
            <w:tcW w:w="1429" w:type="dxa"/>
            <w:noWrap w:val="0"/>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eastAsia="zh-CN"/>
              </w:rPr>
              <w:t>项目实施</w:t>
            </w:r>
            <w:r>
              <w:rPr>
                <w:rFonts w:hint="eastAsia" w:ascii="宋体" w:hAnsi="宋体"/>
                <w:b/>
                <w:sz w:val="22"/>
                <w:szCs w:val="22"/>
                <w:lang w:eastAsia="zh-CN"/>
              </w:rPr>
              <w:br w:type="textWrapping"/>
            </w:r>
            <w:r>
              <w:rPr>
                <w:rFonts w:hint="eastAsia" w:ascii="宋体" w:hAnsi="宋体"/>
                <w:b/>
                <w:sz w:val="22"/>
                <w:szCs w:val="22"/>
                <w:lang w:eastAsia="zh-CN"/>
              </w:rPr>
              <w:t>团队</w:t>
            </w:r>
            <w:r>
              <w:rPr>
                <w:rFonts w:hint="eastAsia" w:ascii="宋体" w:hAnsi="宋体"/>
                <w:b/>
                <w:sz w:val="22"/>
                <w:szCs w:val="22"/>
                <w:lang w:val="en-US" w:eastAsia="zh-CN"/>
              </w:rPr>
              <w:t>配置</w:t>
            </w:r>
          </w:p>
        </w:tc>
        <w:tc>
          <w:tcPr>
            <w:tcW w:w="953" w:type="dxa"/>
            <w:noWrap w:val="0"/>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default" w:ascii="宋体" w:hAnsi="宋体"/>
                <w:b/>
                <w:szCs w:val="24"/>
                <w:lang w:val="en-US"/>
              </w:rPr>
            </w:pPr>
            <w:r>
              <w:rPr>
                <w:rFonts w:hint="eastAsia" w:ascii="宋体" w:hAnsi="宋体"/>
                <w:b/>
                <w:sz w:val="22"/>
                <w:szCs w:val="22"/>
                <w:lang w:val="en-US" w:eastAsia="zh-CN"/>
              </w:rPr>
              <w:t>20</w:t>
            </w:r>
          </w:p>
        </w:tc>
        <w:tc>
          <w:tcPr>
            <w:tcW w:w="542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lang w:eastAsia="zh-CN"/>
              </w:rPr>
            </w:pPr>
            <w:r>
              <w:rPr>
                <w:rFonts w:hint="eastAsia" w:ascii="宋体" w:hAnsi="宋体"/>
                <w:sz w:val="22"/>
                <w:szCs w:val="22"/>
                <w:lang w:eastAsia="zh-CN"/>
              </w:rPr>
              <w:t>根据供应商提供的项目实施团队的组织结构和人员配备优劣进行比较：</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lang w:val="en-US" w:eastAsia="zh-CN"/>
              </w:rPr>
            </w:pPr>
            <w:r>
              <w:rPr>
                <w:rFonts w:hint="eastAsia" w:ascii="宋体" w:hAnsi="宋体"/>
                <w:sz w:val="22"/>
                <w:szCs w:val="22"/>
                <w:lang w:eastAsia="zh-CN"/>
              </w:rPr>
              <w:t>第一档，组织机构完善、合理，团队人员专业性强、经验丰富，符合项目特点的，得</w:t>
            </w:r>
            <w:r>
              <w:rPr>
                <w:rFonts w:hint="eastAsia" w:ascii="宋体" w:hAnsi="宋体"/>
                <w:sz w:val="22"/>
                <w:szCs w:val="22"/>
                <w:lang w:val="en-US" w:eastAsia="zh-CN"/>
              </w:rPr>
              <w:t>20分；</w:t>
            </w:r>
            <w:r>
              <w:rPr>
                <w:rFonts w:hint="eastAsia" w:ascii="宋体" w:hAnsi="宋体"/>
                <w:sz w:val="22"/>
                <w:szCs w:val="22"/>
                <w:lang w:val="en-US" w:eastAsia="zh-CN"/>
              </w:rPr>
              <w:br w:type="textWrapping"/>
            </w:r>
            <w:r>
              <w:rPr>
                <w:rFonts w:hint="eastAsia" w:ascii="宋体" w:hAnsi="宋体"/>
                <w:sz w:val="22"/>
                <w:szCs w:val="22"/>
                <w:lang w:val="en-US" w:eastAsia="zh-CN"/>
              </w:rPr>
              <w:t xml:space="preserve">    </w:t>
            </w:r>
            <w:r>
              <w:rPr>
                <w:rFonts w:hint="eastAsia" w:ascii="宋体" w:hAnsi="宋体"/>
                <w:sz w:val="22"/>
                <w:szCs w:val="22"/>
                <w:lang w:eastAsia="zh-CN"/>
              </w:rPr>
              <w:t>第二档，组织机构较为完善，团队人员专业性较强、经验较丰富，基本符合项目特点的，得</w:t>
            </w:r>
            <w:r>
              <w:rPr>
                <w:rFonts w:hint="eastAsia" w:ascii="宋体" w:hAnsi="宋体"/>
                <w:sz w:val="22"/>
                <w:szCs w:val="22"/>
                <w:lang w:val="en-US" w:eastAsia="zh-CN"/>
              </w:rPr>
              <w:t>14分；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lang w:val="en-US" w:eastAsia="zh-CN"/>
              </w:rPr>
              <w:t>第三档，组织人员构成基</w:t>
            </w:r>
            <w:bookmarkStart w:id="0" w:name="_GoBack"/>
            <w:bookmarkEnd w:id="0"/>
            <w:r>
              <w:rPr>
                <w:rFonts w:hint="eastAsia" w:ascii="宋体" w:hAnsi="宋体"/>
                <w:sz w:val="22"/>
                <w:szCs w:val="22"/>
                <w:lang w:val="en-US" w:eastAsia="zh-CN"/>
              </w:rPr>
              <w:t>本合理、专业性欠缺</w:t>
            </w:r>
            <w:r>
              <w:rPr>
                <w:rFonts w:hint="eastAsia" w:ascii="宋体" w:hAnsi="宋体"/>
                <w:sz w:val="22"/>
                <w:szCs w:val="22"/>
                <w:lang w:eastAsia="zh-CN"/>
              </w:rPr>
              <w:t>或低于其他供应商的，得</w:t>
            </w:r>
            <w:r>
              <w:rPr>
                <w:rFonts w:hint="eastAsia" w:ascii="宋体" w:hAnsi="宋体"/>
                <w:sz w:val="22"/>
                <w:szCs w:val="22"/>
                <w:lang w:val="en-US" w:eastAsia="zh-CN"/>
              </w:rPr>
              <w:t>7</w:t>
            </w:r>
            <w:r>
              <w:rPr>
                <w:rFonts w:hint="eastAsia" w:ascii="宋体" w:hAnsi="宋体"/>
                <w:sz w:val="22"/>
                <w:szCs w:val="22"/>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2857" w:type="dxa"/>
            <w:gridSpan w:val="2"/>
            <w:noWrap w:val="0"/>
            <w:vAlign w:val="center"/>
          </w:tcPr>
          <w:p>
            <w:pPr>
              <w:spacing w:line="400" w:lineRule="exact"/>
              <w:jc w:val="center"/>
              <w:rPr>
                <w:rFonts w:hint="eastAsia" w:ascii="宋体" w:hAnsi="宋体" w:eastAsia="宋体" w:cs="Times New Roman"/>
                <w:b/>
                <w:szCs w:val="24"/>
                <w:lang w:val="en-US" w:eastAsia="zh-CN"/>
              </w:rPr>
            </w:pPr>
            <w:r>
              <w:rPr>
                <w:rFonts w:hint="eastAsia" w:ascii="宋体" w:hAnsi="宋体" w:eastAsia="宋体" w:cs="Times New Roman"/>
                <w:b/>
                <w:szCs w:val="24"/>
                <w:lang w:val="en-US" w:eastAsia="zh-CN"/>
              </w:rPr>
              <w:t>合计</w:t>
            </w:r>
          </w:p>
        </w:tc>
        <w:tc>
          <w:tcPr>
            <w:tcW w:w="953" w:type="dxa"/>
            <w:noWrap w:val="0"/>
            <w:vAlign w:val="center"/>
          </w:tcPr>
          <w:p>
            <w:pPr>
              <w:spacing w:line="400" w:lineRule="exact"/>
              <w:jc w:val="center"/>
              <w:rPr>
                <w:rFonts w:hint="eastAsia" w:ascii="宋体" w:hAnsi="宋体" w:eastAsia="宋体" w:cs="Times New Roman"/>
                <w:b/>
                <w:szCs w:val="24"/>
                <w:lang w:val="en-US" w:eastAsia="zh-CN"/>
              </w:rPr>
            </w:pPr>
            <w:r>
              <w:rPr>
                <w:rFonts w:hint="eastAsia" w:ascii="宋体" w:hAnsi="宋体" w:eastAsia="宋体" w:cs="Times New Roman"/>
                <w:b/>
                <w:szCs w:val="24"/>
                <w:lang w:val="en-US" w:eastAsia="zh-CN"/>
              </w:rPr>
              <w:t>100</w:t>
            </w:r>
          </w:p>
        </w:tc>
        <w:tc>
          <w:tcPr>
            <w:tcW w:w="542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p>
        </w:tc>
      </w:tr>
    </w:tbl>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88"/>
    <w:family w:val="roma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MjYwNDdkYjlmM2JjNzU5ODA4MWVkYzljOThmZjkifQ=="/>
  </w:docVars>
  <w:rsids>
    <w:rsidRoot w:val="00000000"/>
    <w:rsid w:val="014F03EF"/>
    <w:rsid w:val="02773C09"/>
    <w:rsid w:val="02873BB9"/>
    <w:rsid w:val="02987B74"/>
    <w:rsid w:val="038A1CB4"/>
    <w:rsid w:val="03E00BE2"/>
    <w:rsid w:val="044611D6"/>
    <w:rsid w:val="04652569"/>
    <w:rsid w:val="05215492"/>
    <w:rsid w:val="053853E6"/>
    <w:rsid w:val="055F0B42"/>
    <w:rsid w:val="06287461"/>
    <w:rsid w:val="063B5060"/>
    <w:rsid w:val="068723D9"/>
    <w:rsid w:val="06B75327"/>
    <w:rsid w:val="07237351"/>
    <w:rsid w:val="07CF4038"/>
    <w:rsid w:val="091F2D9D"/>
    <w:rsid w:val="09722ECD"/>
    <w:rsid w:val="0A3E54A5"/>
    <w:rsid w:val="0AB17A25"/>
    <w:rsid w:val="0AD94531"/>
    <w:rsid w:val="0B6748B9"/>
    <w:rsid w:val="0C532FE4"/>
    <w:rsid w:val="0CDE6ACB"/>
    <w:rsid w:val="0DB07ED1"/>
    <w:rsid w:val="0E122ED0"/>
    <w:rsid w:val="0F9B7E87"/>
    <w:rsid w:val="0FD32136"/>
    <w:rsid w:val="0FED6ED5"/>
    <w:rsid w:val="10014FAA"/>
    <w:rsid w:val="101E69AB"/>
    <w:rsid w:val="10C00446"/>
    <w:rsid w:val="110F36F7"/>
    <w:rsid w:val="13805EC3"/>
    <w:rsid w:val="14100102"/>
    <w:rsid w:val="14C52A4A"/>
    <w:rsid w:val="154D0D66"/>
    <w:rsid w:val="1675224E"/>
    <w:rsid w:val="169326D4"/>
    <w:rsid w:val="18E92A80"/>
    <w:rsid w:val="1929673D"/>
    <w:rsid w:val="1A0D279E"/>
    <w:rsid w:val="1B210BF7"/>
    <w:rsid w:val="1C9171FB"/>
    <w:rsid w:val="1E6F3E71"/>
    <w:rsid w:val="1EFF3227"/>
    <w:rsid w:val="201E6BEE"/>
    <w:rsid w:val="20821001"/>
    <w:rsid w:val="211E3B5E"/>
    <w:rsid w:val="21BE2CFB"/>
    <w:rsid w:val="239C443B"/>
    <w:rsid w:val="24BD373E"/>
    <w:rsid w:val="24CA7C09"/>
    <w:rsid w:val="26247340"/>
    <w:rsid w:val="26B8C9E2"/>
    <w:rsid w:val="26E477CD"/>
    <w:rsid w:val="27286E69"/>
    <w:rsid w:val="272A6E20"/>
    <w:rsid w:val="27541C38"/>
    <w:rsid w:val="27C9064C"/>
    <w:rsid w:val="27D27023"/>
    <w:rsid w:val="27FD7CA8"/>
    <w:rsid w:val="280C22E7"/>
    <w:rsid w:val="28247630"/>
    <w:rsid w:val="28EB4B13"/>
    <w:rsid w:val="291C0FE8"/>
    <w:rsid w:val="292D51CB"/>
    <w:rsid w:val="29A053DC"/>
    <w:rsid w:val="29AE18A7"/>
    <w:rsid w:val="29B11398"/>
    <w:rsid w:val="2A1C1189"/>
    <w:rsid w:val="2A2C0A1E"/>
    <w:rsid w:val="2B170A69"/>
    <w:rsid w:val="2B2067D5"/>
    <w:rsid w:val="2BECF840"/>
    <w:rsid w:val="2BEFC46A"/>
    <w:rsid w:val="2C200A1C"/>
    <w:rsid w:val="2CAF44CA"/>
    <w:rsid w:val="2D8079FF"/>
    <w:rsid w:val="2ECC2DC9"/>
    <w:rsid w:val="2F285C58"/>
    <w:rsid w:val="2F7326C9"/>
    <w:rsid w:val="2FD01CE8"/>
    <w:rsid w:val="3050248C"/>
    <w:rsid w:val="306437F7"/>
    <w:rsid w:val="30BC33ED"/>
    <w:rsid w:val="31267C32"/>
    <w:rsid w:val="318777C1"/>
    <w:rsid w:val="32031373"/>
    <w:rsid w:val="335D7E9A"/>
    <w:rsid w:val="34DB5522"/>
    <w:rsid w:val="34EB7E53"/>
    <w:rsid w:val="35507CB7"/>
    <w:rsid w:val="35AD335B"/>
    <w:rsid w:val="361909F0"/>
    <w:rsid w:val="3676199F"/>
    <w:rsid w:val="36F5BB6C"/>
    <w:rsid w:val="36FEF71C"/>
    <w:rsid w:val="37985945"/>
    <w:rsid w:val="38633057"/>
    <w:rsid w:val="389710F3"/>
    <w:rsid w:val="39C255E2"/>
    <w:rsid w:val="3A4818A4"/>
    <w:rsid w:val="3A5405D4"/>
    <w:rsid w:val="3BEF421E"/>
    <w:rsid w:val="3D9D0D9E"/>
    <w:rsid w:val="3E047890"/>
    <w:rsid w:val="3E575950"/>
    <w:rsid w:val="3E8D3D29"/>
    <w:rsid w:val="3F7F1F09"/>
    <w:rsid w:val="3FAF812A"/>
    <w:rsid w:val="3FC03C8B"/>
    <w:rsid w:val="3FEC6860"/>
    <w:rsid w:val="3FFB4CC3"/>
    <w:rsid w:val="3FFE0A96"/>
    <w:rsid w:val="400A762F"/>
    <w:rsid w:val="40D54E4D"/>
    <w:rsid w:val="40E568A6"/>
    <w:rsid w:val="40ED0AAF"/>
    <w:rsid w:val="41406E31"/>
    <w:rsid w:val="416F7716"/>
    <w:rsid w:val="41DFA618"/>
    <w:rsid w:val="41F400D6"/>
    <w:rsid w:val="4247010E"/>
    <w:rsid w:val="42B775C7"/>
    <w:rsid w:val="42C972FA"/>
    <w:rsid w:val="44114AB5"/>
    <w:rsid w:val="45B27362"/>
    <w:rsid w:val="45F925D8"/>
    <w:rsid w:val="464832C6"/>
    <w:rsid w:val="48747898"/>
    <w:rsid w:val="48C66E95"/>
    <w:rsid w:val="48E9309C"/>
    <w:rsid w:val="4A4F21F4"/>
    <w:rsid w:val="4EE34045"/>
    <w:rsid w:val="4F5DEDE7"/>
    <w:rsid w:val="4F6A776F"/>
    <w:rsid w:val="4F6E725F"/>
    <w:rsid w:val="4F8265E1"/>
    <w:rsid w:val="4FB979F7"/>
    <w:rsid w:val="4FDE74FB"/>
    <w:rsid w:val="4FF9A466"/>
    <w:rsid w:val="506557E5"/>
    <w:rsid w:val="5159089C"/>
    <w:rsid w:val="51AB3776"/>
    <w:rsid w:val="51D24404"/>
    <w:rsid w:val="537E5101"/>
    <w:rsid w:val="54804850"/>
    <w:rsid w:val="55074B01"/>
    <w:rsid w:val="550C61B7"/>
    <w:rsid w:val="55A737D5"/>
    <w:rsid w:val="56150435"/>
    <w:rsid w:val="565D3B8A"/>
    <w:rsid w:val="57BF0321"/>
    <w:rsid w:val="58232EFA"/>
    <w:rsid w:val="58B233BA"/>
    <w:rsid w:val="594F3C5E"/>
    <w:rsid w:val="59A10231"/>
    <w:rsid w:val="59BE7035"/>
    <w:rsid w:val="5ABA2850"/>
    <w:rsid w:val="5B305D11"/>
    <w:rsid w:val="5CF3319C"/>
    <w:rsid w:val="5DED1ED3"/>
    <w:rsid w:val="5EEC3359"/>
    <w:rsid w:val="5EFBF639"/>
    <w:rsid w:val="5F6E70F2"/>
    <w:rsid w:val="5F742670"/>
    <w:rsid w:val="5F77A09F"/>
    <w:rsid w:val="5F9FB9F4"/>
    <w:rsid w:val="5FDF3861"/>
    <w:rsid w:val="5FE897F1"/>
    <w:rsid w:val="61135D9E"/>
    <w:rsid w:val="613A66FA"/>
    <w:rsid w:val="62386851"/>
    <w:rsid w:val="627211D5"/>
    <w:rsid w:val="62BF00A6"/>
    <w:rsid w:val="635F7193"/>
    <w:rsid w:val="638D7235"/>
    <w:rsid w:val="63D9B215"/>
    <w:rsid w:val="64A818B6"/>
    <w:rsid w:val="65387C9C"/>
    <w:rsid w:val="657B4294"/>
    <w:rsid w:val="65C82528"/>
    <w:rsid w:val="674FEA0A"/>
    <w:rsid w:val="675C52B8"/>
    <w:rsid w:val="68D8313D"/>
    <w:rsid w:val="690B6DDE"/>
    <w:rsid w:val="699EAEB0"/>
    <w:rsid w:val="6A527A52"/>
    <w:rsid w:val="6A7F60AD"/>
    <w:rsid w:val="6B3C72E6"/>
    <w:rsid w:val="6BF5C77B"/>
    <w:rsid w:val="6C2E35A5"/>
    <w:rsid w:val="6CFD8B1D"/>
    <w:rsid w:val="6DAB2FF5"/>
    <w:rsid w:val="6DBFA98D"/>
    <w:rsid w:val="6EF43A8B"/>
    <w:rsid w:val="6F3F4731"/>
    <w:rsid w:val="6FEE6752"/>
    <w:rsid w:val="709F32C5"/>
    <w:rsid w:val="72F67C57"/>
    <w:rsid w:val="737A0794"/>
    <w:rsid w:val="73A78B41"/>
    <w:rsid w:val="7440091B"/>
    <w:rsid w:val="746F1200"/>
    <w:rsid w:val="74864265"/>
    <w:rsid w:val="74AA2238"/>
    <w:rsid w:val="74CC2BE2"/>
    <w:rsid w:val="755521A4"/>
    <w:rsid w:val="77964170"/>
    <w:rsid w:val="77D9530E"/>
    <w:rsid w:val="77E43595"/>
    <w:rsid w:val="78AA6CAB"/>
    <w:rsid w:val="7959785E"/>
    <w:rsid w:val="79750A88"/>
    <w:rsid w:val="7A1545F8"/>
    <w:rsid w:val="7AE40AEA"/>
    <w:rsid w:val="7B072978"/>
    <w:rsid w:val="7B6F56CD"/>
    <w:rsid w:val="7BB37EF2"/>
    <w:rsid w:val="7C200534"/>
    <w:rsid w:val="7CFF259D"/>
    <w:rsid w:val="7D053E64"/>
    <w:rsid w:val="7D140B97"/>
    <w:rsid w:val="7D27CD97"/>
    <w:rsid w:val="7D474565"/>
    <w:rsid w:val="7DE381D3"/>
    <w:rsid w:val="7EAF82C2"/>
    <w:rsid w:val="7EAFB20F"/>
    <w:rsid w:val="7EBD64F7"/>
    <w:rsid w:val="7EFD909E"/>
    <w:rsid w:val="7F1A5E1B"/>
    <w:rsid w:val="7F2D6EBA"/>
    <w:rsid w:val="7F4A3A14"/>
    <w:rsid w:val="7F7F3983"/>
    <w:rsid w:val="7F7FE8D4"/>
    <w:rsid w:val="7F836D34"/>
    <w:rsid w:val="7F9E1BDA"/>
    <w:rsid w:val="7FAF7039"/>
    <w:rsid w:val="7FBF7532"/>
    <w:rsid w:val="7FBF86EB"/>
    <w:rsid w:val="7FBF94B8"/>
    <w:rsid w:val="7FDDB63A"/>
    <w:rsid w:val="7FED287F"/>
    <w:rsid w:val="7FF3F17B"/>
    <w:rsid w:val="7FFB591B"/>
    <w:rsid w:val="8DD64966"/>
    <w:rsid w:val="8EDE6FCD"/>
    <w:rsid w:val="9BFF14EB"/>
    <w:rsid w:val="9D7C3D7F"/>
    <w:rsid w:val="9ED61592"/>
    <w:rsid w:val="9FFF8D6F"/>
    <w:rsid w:val="B16A5358"/>
    <w:rsid w:val="B7BD96F7"/>
    <w:rsid w:val="B7FC0B3F"/>
    <w:rsid w:val="B9BCE8F5"/>
    <w:rsid w:val="BEEF8754"/>
    <w:rsid w:val="BFFB4134"/>
    <w:rsid w:val="C36B7F2A"/>
    <w:rsid w:val="D57F2FF2"/>
    <w:rsid w:val="DB2FE0F3"/>
    <w:rsid w:val="DBC59416"/>
    <w:rsid w:val="DD7FE2CA"/>
    <w:rsid w:val="DFB3D02C"/>
    <w:rsid w:val="DFBED9AA"/>
    <w:rsid w:val="DFC76685"/>
    <w:rsid w:val="DFEF5A5B"/>
    <w:rsid w:val="DFF0309E"/>
    <w:rsid w:val="E4FF80C7"/>
    <w:rsid w:val="E75CAA85"/>
    <w:rsid w:val="E7ABDF43"/>
    <w:rsid w:val="EDAD99EB"/>
    <w:rsid w:val="EEB7FB97"/>
    <w:rsid w:val="EF59017B"/>
    <w:rsid w:val="EF6D8500"/>
    <w:rsid w:val="EF7A8FAA"/>
    <w:rsid w:val="EFBDC65B"/>
    <w:rsid w:val="EFEE38FC"/>
    <w:rsid w:val="F2FEEFC6"/>
    <w:rsid w:val="F35ACB64"/>
    <w:rsid w:val="F5DF3074"/>
    <w:rsid w:val="F69A5029"/>
    <w:rsid w:val="F7BFDD75"/>
    <w:rsid w:val="F8F4580C"/>
    <w:rsid w:val="F9DDF457"/>
    <w:rsid w:val="FA7FE224"/>
    <w:rsid w:val="FB5D04E8"/>
    <w:rsid w:val="FBF7C81B"/>
    <w:rsid w:val="FDFBD7B5"/>
    <w:rsid w:val="FDFFAE78"/>
    <w:rsid w:val="FE7FF466"/>
    <w:rsid w:val="FF4F92C0"/>
    <w:rsid w:val="FF6E6FE5"/>
    <w:rsid w:val="FF7FC976"/>
    <w:rsid w:val="FF971154"/>
    <w:rsid w:val="FFEE38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rPr>
      <w:rFonts w:ascii="仿宋_GB2312" w:hAnsi="仿宋_GB2312" w:eastAsia="仿宋_GB2312" w:cs="Times New Roman"/>
      <w:sz w:val="32"/>
    </w:rPr>
  </w:style>
  <w:style w:type="paragraph" w:styleId="3">
    <w:name w:val="Body Text"/>
    <w:basedOn w:val="1"/>
    <w:next w:val="4"/>
    <w:qFormat/>
    <w:uiPriority w:val="99"/>
    <w:pPr>
      <w:jc w:val="center"/>
    </w:pPr>
    <w:rPr>
      <w:rFonts w:ascii="仿宋_GB2312" w:hAnsi="宋体" w:eastAsia="仿宋_GB2312"/>
      <w:color w:val="auto"/>
      <w:kern w:val="13"/>
      <w:sz w:val="28"/>
    </w:rPr>
  </w:style>
  <w:style w:type="paragraph" w:styleId="4">
    <w:name w:val="toc 2"/>
    <w:basedOn w:val="1"/>
    <w:next w:val="1"/>
    <w:qFormat/>
    <w:uiPriority w:val="0"/>
    <w:pPr>
      <w:widowControl/>
      <w:ind w:left="200"/>
    </w:pPr>
    <w:rPr>
      <w:b/>
      <w:smallCaps/>
      <w:kern w:val="0"/>
      <w:sz w:val="20"/>
    </w:rPr>
  </w:style>
  <w:style w:type="paragraph" w:styleId="6">
    <w:name w:val="annotation text"/>
    <w:basedOn w:val="1"/>
    <w:qFormat/>
    <w:uiPriority w:val="0"/>
    <w:pPr>
      <w:jc w:val="left"/>
    </w:pPr>
  </w:style>
  <w:style w:type="paragraph" w:styleId="7">
    <w:name w:val="Body Text Indent"/>
    <w:basedOn w:val="1"/>
    <w:next w:val="1"/>
    <w:qFormat/>
    <w:uiPriority w:val="0"/>
    <w:pPr>
      <w:ind w:left="200" w:hanging="200" w:hangingChars="200"/>
    </w:pPr>
    <w:rPr>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envelope return"/>
    <w:basedOn w:val="1"/>
    <w:qFormat/>
    <w:uiPriority w:val="0"/>
    <w:pPr>
      <w:snapToGrid w:val="0"/>
    </w:pPr>
    <w:rPr>
      <w:rFonts w:ascii="Arial" w:hAnsi="Arial"/>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7"/>
    <w:next w:val="1"/>
    <w:unhideWhenUsed/>
    <w:qFormat/>
    <w:uiPriority w:val="99"/>
    <w:pPr>
      <w:spacing w:line="360" w:lineRule="auto"/>
      <w:ind w:firstLine="420" w:firstLineChars="200"/>
    </w:pPr>
    <w:rPr>
      <w:rFonts w:ascii="Times New Roman" w:hAnsi="Times New Roman"/>
      <w:sz w:val="24"/>
    </w:rPr>
  </w:style>
  <w:style w:type="character" w:styleId="14">
    <w:name w:val="Strong"/>
    <w:basedOn w:val="13"/>
    <w:qFormat/>
    <w:uiPriority w:val="0"/>
    <w:rPr>
      <w:b/>
    </w:rPr>
  </w:style>
  <w:style w:type="paragraph" w:customStyle="1" w:styleId="15">
    <w:name w:val="_Style 2"/>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546</Words>
  <Characters>568</Characters>
  <Lines>0</Lines>
  <Paragraphs>0</Paragraphs>
  <TotalTime>238</TotalTime>
  <ScaleCrop>false</ScaleCrop>
  <LinksUpToDate>false</LinksUpToDate>
  <CharactersWithSpaces>573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uos</cp:lastModifiedBy>
  <cp:lastPrinted>2023-12-08T10:43:00Z</cp:lastPrinted>
  <dcterms:modified xsi:type="dcterms:W3CDTF">2024-12-31T16:05:33Z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C10537AD175241D3B26CABC864B8F147_13</vt:lpwstr>
  </property>
</Properties>
</file>