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93ED1"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附件一 项目配置清单</w:t>
      </w: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326"/>
        <w:gridCol w:w="1910"/>
        <w:gridCol w:w="4441"/>
        <w:gridCol w:w="4441"/>
        <w:gridCol w:w="1485"/>
      </w:tblGrid>
      <w:tr w14:paraId="55A82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pct"/>
            <w:gridSpan w:val="3"/>
            <w:vAlign w:val="center"/>
          </w:tcPr>
          <w:p w14:paraId="3C3B8FC1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内容</w:t>
            </w:r>
          </w:p>
        </w:tc>
        <w:tc>
          <w:tcPr>
            <w:tcW w:w="1567" w:type="pct"/>
            <w:tcBorders>
              <w:right w:val="single" w:color="auto" w:sz="4" w:space="0"/>
            </w:tcBorders>
            <w:vAlign w:val="center"/>
          </w:tcPr>
          <w:p w14:paraId="33321726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简要描述</w:t>
            </w:r>
          </w:p>
        </w:tc>
        <w:tc>
          <w:tcPr>
            <w:tcW w:w="1567" w:type="pct"/>
            <w:tcBorders>
              <w:right w:val="single" w:color="auto" w:sz="4" w:space="0"/>
            </w:tcBorders>
            <w:vAlign w:val="center"/>
          </w:tcPr>
          <w:p w14:paraId="7ED9868D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数量</w:t>
            </w:r>
          </w:p>
        </w:tc>
        <w:tc>
          <w:tcPr>
            <w:tcW w:w="524" w:type="pct"/>
            <w:tcBorders>
              <w:right w:val="single" w:color="auto" w:sz="4" w:space="0"/>
            </w:tcBorders>
            <w:vAlign w:val="center"/>
          </w:tcPr>
          <w:p w14:paraId="1584BB28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备注</w:t>
            </w:r>
          </w:p>
        </w:tc>
      </w:tr>
      <w:tr w14:paraId="0F7B1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98" w:type="pct"/>
            <w:vAlign w:val="center"/>
          </w:tcPr>
          <w:p w14:paraId="210E4115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1</w:t>
            </w:r>
          </w:p>
        </w:tc>
        <w:tc>
          <w:tcPr>
            <w:tcW w:w="1141" w:type="pct"/>
            <w:gridSpan w:val="2"/>
            <w:vAlign w:val="center"/>
          </w:tcPr>
          <w:p w14:paraId="3829FD87"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氮气供给装置</w:t>
            </w:r>
          </w:p>
        </w:tc>
        <w:tc>
          <w:tcPr>
            <w:tcW w:w="1567" w:type="pct"/>
            <w:tcBorders>
              <w:right w:val="single" w:color="auto" w:sz="4" w:space="0"/>
            </w:tcBorders>
            <w:vAlign w:val="center"/>
          </w:tcPr>
          <w:p w14:paraId="39127879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氮气纯度为99.9%</w:t>
            </w:r>
          </w:p>
        </w:tc>
        <w:tc>
          <w:tcPr>
            <w:tcW w:w="1567" w:type="pct"/>
            <w:tcBorders>
              <w:right w:val="single" w:color="auto" w:sz="4" w:space="0"/>
            </w:tcBorders>
            <w:vAlign w:val="center"/>
          </w:tcPr>
          <w:p w14:paraId="5BA53351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40瓶</w:t>
            </w:r>
          </w:p>
        </w:tc>
        <w:tc>
          <w:tcPr>
            <w:tcW w:w="524" w:type="pct"/>
            <w:tcBorders>
              <w:right w:val="single" w:color="auto" w:sz="4" w:space="0"/>
            </w:tcBorders>
            <w:vAlign w:val="center"/>
          </w:tcPr>
          <w:p w14:paraId="28CC9029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</w:tr>
      <w:tr w14:paraId="26DB4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98" w:type="pct"/>
            <w:vMerge w:val="restart"/>
            <w:vAlign w:val="center"/>
          </w:tcPr>
          <w:p w14:paraId="5E39BD80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2</w:t>
            </w:r>
          </w:p>
        </w:tc>
        <w:tc>
          <w:tcPr>
            <w:tcW w:w="468" w:type="pct"/>
            <w:vMerge w:val="restart"/>
            <w:vAlign w:val="center"/>
          </w:tcPr>
          <w:p w14:paraId="3DFE2DAB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柔性气密帐</w:t>
            </w:r>
          </w:p>
        </w:tc>
        <w:tc>
          <w:tcPr>
            <w:tcW w:w="673" w:type="pct"/>
            <w:vAlign w:val="center"/>
          </w:tcPr>
          <w:p w14:paraId="6EB1975D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气密杀虫帐</w:t>
            </w:r>
          </w:p>
        </w:tc>
        <w:tc>
          <w:tcPr>
            <w:tcW w:w="1567" w:type="pct"/>
            <w:vMerge w:val="restart"/>
            <w:tcBorders>
              <w:right w:val="single" w:color="auto" w:sz="4" w:space="0"/>
            </w:tcBorders>
            <w:vAlign w:val="center"/>
          </w:tcPr>
          <w:p w14:paraId="32074017"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柔性气密帐换气率0.02d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4"/>
                <w:vertAlign w:val="superscript"/>
              </w:rPr>
              <w:t>-1</w:t>
            </w:r>
            <w:r>
              <w:rPr>
                <w:rFonts w:hint="eastAsia" w:ascii="CESI仿宋-GB2312" w:hAnsi="CESI仿宋-GB2312" w:eastAsia="CESI仿宋-GB2312" w:cs="CESI仿宋-GB2312"/>
              </w:rPr>
              <w:t>；氧含量调节范围＜0.5%</w:t>
            </w:r>
          </w:p>
        </w:tc>
        <w:tc>
          <w:tcPr>
            <w:tcW w:w="1567" w:type="pct"/>
            <w:tcBorders>
              <w:right w:val="single" w:color="auto" w:sz="4" w:space="0"/>
            </w:tcBorders>
            <w:vAlign w:val="center"/>
          </w:tcPr>
          <w:p w14:paraId="35037E91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37.5m³</w:t>
            </w:r>
          </w:p>
        </w:tc>
        <w:tc>
          <w:tcPr>
            <w:tcW w:w="524" w:type="pct"/>
            <w:tcBorders>
              <w:right w:val="single" w:color="auto" w:sz="4" w:space="0"/>
            </w:tcBorders>
            <w:vAlign w:val="center"/>
          </w:tcPr>
          <w:p w14:paraId="2AFCA963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 w14:paraId="6E186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98" w:type="pct"/>
            <w:vMerge w:val="continue"/>
            <w:vAlign w:val="center"/>
          </w:tcPr>
          <w:p w14:paraId="2B28F79A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468" w:type="pct"/>
            <w:vMerge w:val="continue"/>
            <w:vAlign w:val="center"/>
          </w:tcPr>
          <w:p w14:paraId="6CEF74DC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673" w:type="pct"/>
            <w:vAlign w:val="center"/>
          </w:tcPr>
          <w:p w14:paraId="405141F4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加厚耐磨措施</w:t>
            </w:r>
          </w:p>
        </w:tc>
        <w:tc>
          <w:tcPr>
            <w:tcW w:w="1567" w:type="pct"/>
            <w:vMerge w:val="continue"/>
            <w:tcBorders>
              <w:right w:val="single" w:color="auto" w:sz="4" w:space="0"/>
            </w:tcBorders>
            <w:vAlign w:val="center"/>
          </w:tcPr>
          <w:p w14:paraId="0EABC010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1567" w:type="pct"/>
            <w:tcBorders>
              <w:right w:val="single" w:color="auto" w:sz="4" w:space="0"/>
            </w:tcBorders>
            <w:vAlign w:val="center"/>
          </w:tcPr>
          <w:p w14:paraId="05E3CAC4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15㎡</w:t>
            </w:r>
          </w:p>
        </w:tc>
        <w:tc>
          <w:tcPr>
            <w:tcW w:w="524" w:type="pct"/>
            <w:tcBorders>
              <w:right w:val="single" w:color="auto" w:sz="4" w:space="0"/>
            </w:tcBorders>
            <w:vAlign w:val="center"/>
          </w:tcPr>
          <w:p w14:paraId="0F34BEEC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 w14:paraId="07A23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" w:type="pct"/>
            <w:vAlign w:val="center"/>
          </w:tcPr>
          <w:p w14:paraId="23754583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3</w:t>
            </w:r>
          </w:p>
        </w:tc>
        <w:tc>
          <w:tcPr>
            <w:tcW w:w="1141" w:type="pct"/>
            <w:gridSpan w:val="2"/>
            <w:vAlign w:val="center"/>
          </w:tcPr>
          <w:p w14:paraId="49B2056E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控氧耗材</w:t>
            </w:r>
          </w:p>
        </w:tc>
        <w:tc>
          <w:tcPr>
            <w:tcW w:w="1567" w:type="pct"/>
            <w:vMerge w:val="restart"/>
            <w:tcBorders>
              <w:right w:val="single" w:color="auto" w:sz="4" w:space="0"/>
            </w:tcBorders>
            <w:vAlign w:val="center"/>
          </w:tcPr>
          <w:p w14:paraId="5A8B1676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2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约37.5立方空间使用</w:t>
            </w:r>
          </w:p>
        </w:tc>
        <w:tc>
          <w:tcPr>
            <w:tcW w:w="1567" w:type="pct"/>
            <w:tcBorders>
              <w:right w:val="single" w:color="auto" w:sz="4" w:space="0"/>
            </w:tcBorders>
            <w:vAlign w:val="center"/>
          </w:tcPr>
          <w:p w14:paraId="11CB8452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800袋</w:t>
            </w:r>
          </w:p>
        </w:tc>
        <w:tc>
          <w:tcPr>
            <w:tcW w:w="524" w:type="pct"/>
            <w:vMerge w:val="restart"/>
            <w:tcBorders>
              <w:right w:val="single" w:color="auto" w:sz="4" w:space="0"/>
            </w:tcBorders>
            <w:vAlign w:val="center"/>
          </w:tcPr>
          <w:p w14:paraId="181502CC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含10瓶除虫喷雾</w:t>
            </w:r>
          </w:p>
        </w:tc>
      </w:tr>
      <w:tr w14:paraId="20F2D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98" w:type="pct"/>
            <w:vAlign w:val="center"/>
          </w:tcPr>
          <w:p w14:paraId="00808308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4</w:t>
            </w:r>
          </w:p>
        </w:tc>
        <w:tc>
          <w:tcPr>
            <w:tcW w:w="1141" w:type="pct"/>
            <w:gridSpan w:val="2"/>
            <w:vAlign w:val="center"/>
          </w:tcPr>
          <w:p w14:paraId="4AA98665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控湿耗材</w:t>
            </w:r>
          </w:p>
        </w:tc>
        <w:tc>
          <w:tcPr>
            <w:tcW w:w="1567" w:type="pct"/>
            <w:vMerge w:val="continue"/>
            <w:tcBorders>
              <w:right w:val="single" w:color="auto" w:sz="4" w:space="0"/>
            </w:tcBorders>
            <w:vAlign w:val="center"/>
          </w:tcPr>
          <w:p w14:paraId="334FD878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2"/>
                <w:szCs w:val="28"/>
              </w:rPr>
            </w:pPr>
          </w:p>
        </w:tc>
        <w:tc>
          <w:tcPr>
            <w:tcW w:w="1567" w:type="pct"/>
            <w:tcBorders>
              <w:right w:val="single" w:color="auto" w:sz="4" w:space="0"/>
            </w:tcBorders>
            <w:vAlign w:val="center"/>
          </w:tcPr>
          <w:p w14:paraId="68FBFAAE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15瓶</w:t>
            </w:r>
          </w:p>
        </w:tc>
        <w:tc>
          <w:tcPr>
            <w:tcW w:w="524" w:type="pct"/>
            <w:vMerge w:val="continue"/>
            <w:tcBorders>
              <w:right w:val="single" w:color="auto" w:sz="4" w:space="0"/>
            </w:tcBorders>
            <w:vAlign w:val="center"/>
          </w:tcPr>
          <w:p w14:paraId="18B80A7B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 w14:paraId="13BBE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98" w:type="pct"/>
            <w:vAlign w:val="center"/>
          </w:tcPr>
          <w:p w14:paraId="0C5460C7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5</w:t>
            </w:r>
          </w:p>
        </w:tc>
        <w:tc>
          <w:tcPr>
            <w:tcW w:w="1141" w:type="pct"/>
            <w:gridSpan w:val="2"/>
            <w:vAlign w:val="center"/>
          </w:tcPr>
          <w:p w14:paraId="3A79BBBE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人工费</w:t>
            </w:r>
          </w:p>
        </w:tc>
        <w:tc>
          <w:tcPr>
            <w:tcW w:w="1567" w:type="pct"/>
            <w:tcBorders>
              <w:right w:val="single" w:color="auto" w:sz="4" w:space="0"/>
            </w:tcBorders>
            <w:vAlign w:val="center"/>
          </w:tcPr>
          <w:p w14:paraId="19B0C2CD"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技术支持</w:t>
            </w:r>
            <w:r>
              <w:rPr>
                <w:rFonts w:hint="eastAsia" w:ascii="CESI仿宋-GB2312" w:hAnsi="CESI仿宋-GB2312" w:eastAsia="CESI仿宋-GB2312" w:cs="CESI仿宋-GB2312"/>
                <w:lang w:eastAsia="zh-CN"/>
              </w:rPr>
              <w:t>，</w:t>
            </w:r>
            <w:r>
              <w:rPr>
                <w:rFonts w:hint="eastAsia" w:ascii="CESI仿宋-GB2312" w:hAnsi="CESI仿宋-GB2312" w:eastAsia="CESI仿宋-GB2312" w:cs="CESI仿宋-GB2312"/>
              </w:rPr>
              <w:t>结合馆内藏品消杀需求，需要开展消杀服务，杀虫服务期间需要至少经过专业杀虫服务人员2人。</w:t>
            </w:r>
          </w:p>
          <w:p w14:paraId="3E16ED11"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工时说明：</w:t>
            </w:r>
          </w:p>
          <w:p w14:paraId="4B8FE935"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①帐篷文物搬运时间需要2~3天，再经过2~3天降氧置换（期间还有气瓶的搬运、更换等），即帐篷降氧搬运及降氧时间约5天。</w:t>
            </w:r>
          </w:p>
          <w:p w14:paraId="7B624E3F"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sz w:val="22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②此外，氧含量降至杀虫所需的浓度后，按照要求需要低氧维持28天以上。</w:t>
            </w:r>
          </w:p>
        </w:tc>
        <w:tc>
          <w:tcPr>
            <w:tcW w:w="1567" w:type="pct"/>
            <w:tcBorders>
              <w:right w:val="single" w:color="auto" w:sz="4" w:space="0"/>
            </w:tcBorders>
            <w:vAlign w:val="center"/>
          </w:tcPr>
          <w:p w14:paraId="2A87F8B7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1项</w:t>
            </w:r>
          </w:p>
        </w:tc>
        <w:tc>
          <w:tcPr>
            <w:tcW w:w="524" w:type="pct"/>
            <w:tcBorders>
              <w:right w:val="single" w:color="auto" w:sz="4" w:space="0"/>
            </w:tcBorders>
            <w:vAlign w:val="center"/>
          </w:tcPr>
          <w:p w14:paraId="35A588A6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 w14:paraId="359F0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8" w:type="pct"/>
            <w:vAlign w:val="center"/>
          </w:tcPr>
          <w:p w14:paraId="079D88DA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6</w:t>
            </w:r>
          </w:p>
        </w:tc>
        <w:tc>
          <w:tcPr>
            <w:tcW w:w="1141" w:type="pct"/>
            <w:gridSpan w:val="2"/>
            <w:vAlign w:val="center"/>
          </w:tcPr>
          <w:p w14:paraId="118BED3C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智能氧和温湿度远程检测装置</w:t>
            </w:r>
          </w:p>
        </w:tc>
        <w:tc>
          <w:tcPr>
            <w:tcW w:w="1567" w:type="pct"/>
            <w:tcBorders>
              <w:right w:val="single" w:color="auto" w:sz="4" w:space="0"/>
            </w:tcBorders>
            <w:vAlign w:val="center"/>
          </w:tcPr>
          <w:p w14:paraId="7AABFCA4">
            <w:pPr>
              <w:widowControl/>
              <w:jc w:val="left"/>
              <w:rPr>
                <w:rFonts w:hint="eastAsia" w:ascii="仿宋" w:hAnsi="仿宋" w:eastAsia="CESI仿宋-GB2312" w:cs="仿宋"/>
                <w:sz w:val="22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通过</w:t>
            </w:r>
            <w:r>
              <w:rPr>
                <w:rFonts w:hint="eastAsia" w:ascii="CESI仿宋-GB2312" w:hAnsi="CESI仿宋-GB2312" w:eastAsia="CESI仿宋-GB2312" w:cs="CESI仿宋-GB2312"/>
                <w:lang w:eastAsia="zh-CN"/>
              </w:rPr>
              <w:t>互联网</w:t>
            </w:r>
            <w:r>
              <w:rPr>
                <w:rFonts w:hint="eastAsia" w:ascii="CESI仿宋-GB2312" w:hAnsi="CESI仿宋-GB2312" w:eastAsia="CESI仿宋-GB2312" w:cs="CESI仿宋-GB2312"/>
              </w:rPr>
              <w:t>，利用手机APP、</w:t>
            </w:r>
            <w:r>
              <w:rPr>
                <w:rFonts w:hint="eastAsia" w:ascii="CESI仿宋-GB2312" w:hAnsi="CESI仿宋-GB2312" w:eastAsia="CESI仿宋-GB2312" w:cs="CESI仿宋-GB2312"/>
                <w:lang w:eastAsia="zh-CN"/>
              </w:rPr>
              <w:t>浏览器</w:t>
            </w:r>
            <w:r>
              <w:rPr>
                <w:rFonts w:hint="eastAsia" w:ascii="CESI仿宋-GB2312" w:hAnsi="CESI仿宋-GB2312" w:eastAsia="CESI仿宋-GB2312" w:cs="CESI仿宋-GB2312"/>
              </w:rPr>
              <w:t>等查询各柔性帐内含量波动情况</w:t>
            </w:r>
            <w:r>
              <w:rPr>
                <w:rFonts w:hint="eastAsia" w:ascii="CESI仿宋-GB2312" w:hAnsi="CESI仿宋-GB2312" w:eastAsia="CESI仿宋-GB2312" w:cs="CESI仿宋-GB2312"/>
                <w:lang w:eastAsia="zh-CN"/>
              </w:rPr>
              <w:t>。</w:t>
            </w:r>
          </w:p>
        </w:tc>
        <w:tc>
          <w:tcPr>
            <w:tcW w:w="1567" w:type="pct"/>
            <w:tcBorders>
              <w:right w:val="single" w:color="auto" w:sz="4" w:space="0"/>
            </w:tcBorders>
            <w:vAlign w:val="center"/>
          </w:tcPr>
          <w:p w14:paraId="53509095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1套</w:t>
            </w:r>
          </w:p>
        </w:tc>
        <w:tc>
          <w:tcPr>
            <w:tcW w:w="524" w:type="pct"/>
            <w:tcBorders>
              <w:right w:val="single" w:color="auto" w:sz="4" w:space="0"/>
            </w:tcBorders>
            <w:vAlign w:val="center"/>
          </w:tcPr>
          <w:p w14:paraId="5338C45D">
            <w:pPr>
              <w:widowControl/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  <w:t>租赁1个月</w:t>
            </w:r>
          </w:p>
        </w:tc>
      </w:tr>
      <w:tr w14:paraId="072FE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8" w:type="pct"/>
            <w:vAlign w:val="center"/>
          </w:tcPr>
          <w:p w14:paraId="64722DBA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7</w:t>
            </w:r>
          </w:p>
        </w:tc>
        <w:tc>
          <w:tcPr>
            <w:tcW w:w="1141" w:type="pct"/>
            <w:gridSpan w:val="2"/>
            <w:vAlign w:val="center"/>
          </w:tcPr>
          <w:p w14:paraId="1D4D9031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其他设备租赁费</w:t>
            </w:r>
          </w:p>
        </w:tc>
        <w:tc>
          <w:tcPr>
            <w:tcW w:w="1567" w:type="pct"/>
            <w:tcBorders>
              <w:right w:val="single" w:color="auto" w:sz="4" w:space="0"/>
            </w:tcBorders>
            <w:vAlign w:val="center"/>
          </w:tcPr>
          <w:p w14:paraId="0EF01F4D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呼吸面罩、氧含量报警仪</w:t>
            </w:r>
          </w:p>
        </w:tc>
        <w:tc>
          <w:tcPr>
            <w:tcW w:w="1567" w:type="pct"/>
            <w:tcBorders>
              <w:right w:val="single" w:color="auto" w:sz="4" w:space="0"/>
            </w:tcBorders>
            <w:vAlign w:val="center"/>
          </w:tcPr>
          <w:p w14:paraId="7FD0AB44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1套</w:t>
            </w:r>
          </w:p>
        </w:tc>
        <w:tc>
          <w:tcPr>
            <w:tcW w:w="524" w:type="pct"/>
            <w:tcBorders>
              <w:right w:val="single" w:color="auto" w:sz="4" w:space="0"/>
            </w:tcBorders>
            <w:vAlign w:val="center"/>
          </w:tcPr>
          <w:p w14:paraId="7E7A95DA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 w14:paraId="65116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8" w:type="pct"/>
            <w:vAlign w:val="center"/>
          </w:tcPr>
          <w:p w14:paraId="1BEE7A1A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8</w:t>
            </w:r>
          </w:p>
        </w:tc>
        <w:tc>
          <w:tcPr>
            <w:tcW w:w="1141" w:type="pct"/>
            <w:gridSpan w:val="2"/>
            <w:vAlign w:val="center"/>
          </w:tcPr>
          <w:p w14:paraId="5D671E89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警戒线、警示牌</w:t>
            </w:r>
          </w:p>
        </w:tc>
        <w:tc>
          <w:tcPr>
            <w:tcW w:w="1567" w:type="pct"/>
            <w:tcBorders>
              <w:right w:val="single" w:color="auto" w:sz="4" w:space="0"/>
            </w:tcBorders>
            <w:vAlign w:val="center"/>
          </w:tcPr>
          <w:p w14:paraId="35D98F98">
            <w:pPr>
              <w:widowControl/>
              <w:jc w:val="center"/>
              <w:rPr>
                <w:rFonts w:hint="default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警戒线、警示牌</w:t>
            </w:r>
          </w:p>
        </w:tc>
        <w:tc>
          <w:tcPr>
            <w:tcW w:w="1567" w:type="pct"/>
            <w:tcBorders>
              <w:right w:val="single" w:color="auto" w:sz="4" w:space="0"/>
            </w:tcBorders>
            <w:vAlign w:val="center"/>
          </w:tcPr>
          <w:p w14:paraId="681D4518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1套</w:t>
            </w:r>
          </w:p>
        </w:tc>
        <w:tc>
          <w:tcPr>
            <w:tcW w:w="524" w:type="pct"/>
            <w:tcBorders>
              <w:right w:val="single" w:color="auto" w:sz="4" w:space="0"/>
            </w:tcBorders>
            <w:vAlign w:val="center"/>
          </w:tcPr>
          <w:p w14:paraId="65FC8B66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 w14:paraId="63BA7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8" w:type="pct"/>
            <w:vAlign w:val="center"/>
          </w:tcPr>
          <w:p w14:paraId="64CDDE2F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9</w:t>
            </w:r>
          </w:p>
        </w:tc>
        <w:tc>
          <w:tcPr>
            <w:tcW w:w="1141" w:type="pct"/>
            <w:gridSpan w:val="2"/>
            <w:vAlign w:val="center"/>
          </w:tcPr>
          <w:p w14:paraId="72C349DA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包装运输费</w:t>
            </w:r>
          </w:p>
        </w:tc>
        <w:tc>
          <w:tcPr>
            <w:tcW w:w="1567" w:type="pct"/>
            <w:tcBorders>
              <w:right w:val="single" w:color="auto" w:sz="4" w:space="0"/>
            </w:tcBorders>
            <w:vAlign w:val="center"/>
          </w:tcPr>
          <w:p w14:paraId="769D584D">
            <w:pPr>
              <w:widowControl/>
              <w:jc w:val="center"/>
              <w:rPr>
                <w:rFonts w:hint="default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包装运输</w:t>
            </w:r>
          </w:p>
        </w:tc>
        <w:tc>
          <w:tcPr>
            <w:tcW w:w="1567" w:type="pct"/>
            <w:tcBorders>
              <w:right w:val="single" w:color="auto" w:sz="4" w:space="0"/>
            </w:tcBorders>
            <w:vAlign w:val="center"/>
          </w:tcPr>
          <w:p w14:paraId="05F615DC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1次</w:t>
            </w:r>
          </w:p>
        </w:tc>
        <w:tc>
          <w:tcPr>
            <w:tcW w:w="524" w:type="pct"/>
            <w:tcBorders>
              <w:right w:val="single" w:color="auto" w:sz="4" w:space="0"/>
            </w:tcBorders>
            <w:vAlign w:val="center"/>
          </w:tcPr>
          <w:p w14:paraId="0CC3A3B8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 w14:paraId="6CE5A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8" w:type="pct"/>
            <w:vAlign w:val="center"/>
          </w:tcPr>
          <w:p w14:paraId="24F11FBE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10</w:t>
            </w:r>
          </w:p>
        </w:tc>
        <w:tc>
          <w:tcPr>
            <w:tcW w:w="1141" w:type="pct"/>
            <w:gridSpan w:val="2"/>
            <w:vAlign w:val="center"/>
          </w:tcPr>
          <w:p w14:paraId="0977B1D9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文物搬运</w:t>
            </w:r>
          </w:p>
        </w:tc>
        <w:tc>
          <w:tcPr>
            <w:tcW w:w="1567" w:type="pct"/>
            <w:tcBorders>
              <w:right w:val="single" w:color="auto" w:sz="4" w:space="0"/>
            </w:tcBorders>
            <w:vAlign w:val="center"/>
          </w:tcPr>
          <w:p w14:paraId="6173FAB4">
            <w:pPr>
              <w:widowControl/>
              <w:tabs>
                <w:tab w:val="left" w:pos="972"/>
              </w:tabs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  <w:t>包含搬运工人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2人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  <w:t>及包装纸箱费用</w:t>
            </w:r>
          </w:p>
        </w:tc>
        <w:tc>
          <w:tcPr>
            <w:tcW w:w="1567" w:type="pct"/>
            <w:tcBorders>
              <w:right w:val="single" w:color="auto" w:sz="4" w:space="0"/>
            </w:tcBorders>
            <w:vAlign w:val="center"/>
          </w:tcPr>
          <w:p w14:paraId="151F71B2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1项</w:t>
            </w:r>
          </w:p>
        </w:tc>
        <w:tc>
          <w:tcPr>
            <w:tcW w:w="524" w:type="pct"/>
            <w:tcBorders>
              <w:right w:val="single" w:color="auto" w:sz="4" w:space="0"/>
            </w:tcBorders>
            <w:vAlign w:val="center"/>
          </w:tcPr>
          <w:p w14:paraId="654FA854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 w14:paraId="30FAD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8" w:type="pct"/>
            <w:vAlign w:val="center"/>
          </w:tcPr>
          <w:p w14:paraId="746301D6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11</w:t>
            </w:r>
          </w:p>
        </w:tc>
        <w:tc>
          <w:tcPr>
            <w:tcW w:w="1141" w:type="pct"/>
            <w:gridSpan w:val="2"/>
            <w:vAlign w:val="center"/>
          </w:tcPr>
          <w:p w14:paraId="5B185628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安装调试费</w:t>
            </w:r>
          </w:p>
        </w:tc>
        <w:tc>
          <w:tcPr>
            <w:tcW w:w="1567" w:type="pct"/>
            <w:tcBorders>
              <w:right w:val="single" w:color="auto" w:sz="4" w:space="0"/>
            </w:tcBorders>
            <w:vAlign w:val="center"/>
          </w:tcPr>
          <w:p w14:paraId="3783B001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设施、设备安装与调试</w:t>
            </w:r>
          </w:p>
        </w:tc>
        <w:tc>
          <w:tcPr>
            <w:tcW w:w="1567" w:type="pct"/>
            <w:tcBorders>
              <w:right w:val="single" w:color="auto" w:sz="4" w:space="0"/>
            </w:tcBorders>
            <w:vAlign w:val="center"/>
          </w:tcPr>
          <w:p w14:paraId="3AD27F49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1项</w:t>
            </w:r>
          </w:p>
        </w:tc>
        <w:tc>
          <w:tcPr>
            <w:tcW w:w="524" w:type="pct"/>
            <w:tcBorders>
              <w:right w:val="single" w:color="auto" w:sz="4" w:space="0"/>
            </w:tcBorders>
            <w:vAlign w:val="center"/>
          </w:tcPr>
          <w:p w14:paraId="23848349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 w14:paraId="5FEA9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8" w:type="pct"/>
            <w:tcBorders>
              <w:right w:val="single" w:color="auto" w:sz="4" w:space="0"/>
            </w:tcBorders>
            <w:vAlign w:val="center"/>
          </w:tcPr>
          <w:p w14:paraId="7797B421">
            <w:pPr>
              <w:widowControl/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12</w:t>
            </w:r>
          </w:p>
        </w:tc>
        <w:tc>
          <w:tcPr>
            <w:tcW w:w="1141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CDE5DA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库房文物橱柜消杀</w:t>
            </w:r>
          </w:p>
        </w:tc>
        <w:tc>
          <w:tcPr>
            <w:tcW w:w="1567" w:type="pct"/>
            <w:tcBorders>
              <w:right w:val="single" w:color="auto" w:sz="4" w:space="0"/>
            </w:tcBorders>
            <w:vAlign w:val="center"/>
          </w:tcPr>
          <w:p w14:paraId="38E9AB0B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10个文物橱柜的消杀</w:t>
            </w:r>
          </w:p>
        </w:tc>
        <w:tc>
          <w:tcPr>
            <w:tcW w:w="1567" w:type="pct"/>
            <w:tcBorders>
              <w:right w:val="single" w:color="auto" w:sz="4" w:space="0"/>
            </w:tcBorders>
            <w:vAlign w:val="center"/>
          </w:tcPr>
          <w:p w14:paraId="0892235C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1项</w:t>
            </w:r>
          </w:p>
        </w:tc>
        <w:tc>
          <w:tcPr>
            <w:tcW w:w="524" w:type="pct"/>
            <w:tcBorders>
              <w:right w:val="single" w:color="auto" w:sz="4" w:space="0"/>
            </w:tcBorders>
            <w:vAlign w:val="center"/>
          </w:tcPr>
          <w:p w14:paraId="307FA511"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</w:tr>
    </w:tbl>
    <w:p w14:paraId="31EEE53B"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066DC444">
      <w:pPr>
        <w:pStyle w:val="2"/>
        <w:rPr>
          <w:rStyle w:val="5"/>
          <w:rFonts w:hint="eastAsia" w:ascii="微软雅黑" w:hAnsi="微软雅黑" w:eastAsia="微软雅黑" w:cs="微软雅黑"/>
          <w:b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3D7F5C18"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018D0443">
      <w:pPr>
        <w:pStyle w:val="2"/>
        <w:rPr>
          <w:rStyle w:val="5"/>
          <w:rFonts w:hint="eastAsia" w:ascii="微软雅黑" w:hAnsi="微软雅黑" w:eastAsia="微软雅黑" w:cs="微软雅黑"/>
          <w:b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5451367A"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05149957">
      <w:pPr>
        <w:pStyle w:val="2"/>
        <w:rPr>
          <w:rStyle w:val="5"/>
          <w:rFonts w:hint="eastAsia" w:ascii="微软雅黑" w:hAnsi="微软雅黑" w:eastAsia="微软雅黑" w:cs="微软雅黑"/>
          <w:b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5426C721"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186FE5FC">
      <w:pPr>
        <w:pStyle w:val="2"/>
        <w:rPr>
          <w:rFonts w:hint="eastAsia"/>
          <w:lang w:val="en-US" w:eastAsia="zh-CN"/>
        </w:rPr>
      </w:pPr>
    </w:p>
    <w:p w14:paraId="2C3CC6A1"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附件二 评分标准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976"/>
        <w:gridCol w:w="1270"/>
        <w:gridCol w:w="9210"/>
      </w:tblGrid>
      <w:tr w14:paraId="5DD85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03" w:type="pct"/>
            <w:gridSpan w:val="2"/>
            <w:vAlign w:val="center"/>
          </w:tcPr>
          <w:p w14:paraId="5519BAB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br w:type="page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评分因素</w:t>
            </w:r>
          </w:p>
        </w:tc>
        <w:tc>
          <w:tcPr>
            <w:tcW w:w="448" w:type="pct"/>
            <w:vAlign w:val="center"/>
          </w:tcPr>
          <w:p w14:paraId="41AA68A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分值</w:t>
            </w:r>
          </w:p>
        </w:tc>
        <w:tc>
          <w:tcPr>
            <w:tcW w:w="3248" w:type="pct"/>
            <w:shd w:val="clear" w:color="auto" w:fill="auto"/>
            <w:vAlign w:val="center"/>
          </w:tcPr>
          <w:p w14:paraId="639E445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评分标准说明</w:t>
            </w:r>
          </w:p>
        </w:tc>
      </w:tr>
      <w:tr w14:paraId="0EBE3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303" w:type="pct"/>
            <w:gridSpan w:val="2"/>
            <w:vAlign w:val="center"/>
          </w:tcPr>
          <w:p w14:paraId="0D96911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价格部分</w:t>
            </w:r>
          </w:p>
          <w:p w14:paraId="544351B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（30分）</w:t>
            </w:r>
          </w:p>
        </w:tc>
        <w:tc>
          <w:tcPr>
            <w:tcW w:w="448" w:type="pct"/>
            <w:vAlign w:val="center"/>
          </w:tcPr>
          <w:p w14:paraId="49369D9A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30分</w:t>
            </w:r>
          </w:p>
        </w:tc>
        <w:tc>
          <w:tcPr>
            <w:tcW w:w="3248" w:type="pct"/>
            <w:vAlign w:val="center"/>
          </w:tcPr>
          <w:p w14:paraId="6A6FF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价格分采用最低价优先计算的方法，即满足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招标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文件要求的最低价为评标基准价，其得分为满分。其他供应商的报价得分按照下列公式计算（小数点保留两位）：</w:t>
            </w:r>
          </w:p>
          <w:p w14:paraId="296AF3E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投标报价得分=（评标基准价／投标报价）×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。</w:t>
            </w:r>
          </w:p>
        </w:tc>
      </w:tr>
      <w:tr w14:paraId="54A17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6" w:type="pct"/>
            <w:vAlign w:val="center"/>
          </w:tcPr>
          <w:p w14:paraId="7D7B53C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商务部分</w:t>
            </w:r>
          </w:p>
          <w:p w14:paraId="6A2D5BE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分）</w:t>
            </w:r>
          </w:p>
        </w:tc>
        <w:tc>
          <w:tcPr>
            <w:tcW w:w="697" w:type="pct"/>
            <w:vAlign w:val="center"/>
          </w:tcPr>
          <w:p w14:paraId="1147678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类似项目业绩</w:t>
            </w:r>
          </w:p>
        </w:tc>
        <w:tc>
          <w:tcPr>
            <w:tcW w:w="448" w:type="pct"/>
            <w:vAlign w:val="center"/>
          </w:tcPr>
          <w:p w14:paraId="3268FCF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分</w:t>
            </w:r>
          </w:p>
        </w:tc>
        <w:tc>
          <w:tcPr>
            <w:tcW w:w="3248" w:type="pct"/>
            <w:shd w:val="clear" w:color="auto" w:fill="auto"/>
            <w:vAlign w:val="top"/>
          </w:tcPr>
          <w:p w14:paraId="275FC79A">
            <w:pPr>
              <w:widowControl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年1月1日至开标当日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采用本项目所要求的低氧杀虫服务消杀的方法的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类似项目业绩，每提供一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份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业绩得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分，满分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分，没有案例不得分。</w:t>
            </w:r>
          </w:p>
          <w:p w14:paraId="1C22CFFA">
            <w:pPr>
              <w:widowControl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注：以上业绩须提供合同（至少包含合同首页、关键内容页、双方签字盖章页）复印件或中标通知书复印件作为有效证明材料，未提供有效证明材料或不满足上述要求的业绩将不予认可。以上业绩证明材料原件备查。</w:t>
            </w:r>
          </w:p>
        </w:tc>
      </w:tr>
      <w:tr w14:paraId="550C8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06" w:type="pct"/>
            <w:vMerge w:val="restart"/>
            <w:vAlign w:val="center"/>
          </w:tcPr>
          <w:p w14:paraId="7C01B8A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技术及服务部分</w:t>
            </w:r>
          </w:p>
          <w:p w14:paraId="2A82FCD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分）</w:t>
            </w:r>
          </w:p>
        </w:tc>
        <w:tc>
          <w:tcPr>
            <w:tcW w:w="697" w:type="pct"/>
            <w:vAlign w:val="center"/>
          </w:tcPr>
          <w:p w14:paraId="3B2D4A2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技术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指标及响应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情况</w:t>
            </w:r>
          </w:p>
        </w:tc>
        <w:tc>
          <w:tcPr>
            <w:tcW w:w="448" w:type="pct"/>
            <w:vAlign w:val="center"/>
          </w:tcPr>
          <w:p w14:paraId="7BBF692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分</w:t>
            </w:r>
          </w:p>
        </w:tc>
        <w:tc>
          <w:tcPr>
            <w:tcW w:w="3248" w:type="pct"/>
            <w:shd w:val="clear" w:color="auto" w:fill="auto"/>
            <w:vAlign w:val="top"/>
          </w:tcPr>
          <w:p w14:paraId="53A40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评标委员会依据招标文件中的参数要求，对投标人所提供的技术和服务要求响应表进行评价：</w:t>
            </w:r>
          </w:p>
          <w:p w14:paraId="0C722C5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1"/>
                <w:szCs w:val="21"/>
                <w:lang w:val="en-US" w:eastAsia="zh-CN" w:bidi="ar-SA"/>
              </w:rPr>
              <w:t>第一档：完全满足参数要求，得20分；</w:t>
            </w:r>
          </w:p>
          <w:p w14:paraId="748BA4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1"/>
                <w:szCs w:val="21"/>
                <w:lang w:val="en-US" w:eastAsia="zh-CN" w:bidi="ar-SA"/>
              </w:rPr>
              <w:t>第二档：比较满足参数要求，得15分；</w:t>
            </w:r>
          </w:p>
          <w:p w14:paraId="71D4312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1"/>
                <w:szCs w:val="21"/>
                <w:lang w:val="en-US" w:eastAsia="zh-CN" w:bidi="ar-SA"/>
              </w:rPr>
              <w:t>第三档：一般，得5分；</w:t>
            </w:r>
          </w:p>
          <w:p w14:paraId="040E1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1"/>
                <w:szCs w:val="21"/>
                <w:lang w:val="en-US" w:eastAsia="zh-CN" w:bidi="ar-SA"/>
              </w:rPr>
              <w:t>第四档：不合理或缺项，得0分。</w:t>
            </w:r>
          </w:p>
        </w:tc>
      </w:tr>
      <w:tr w14:paraId="46C8A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06" w:type="pct"/>
            <w:vMerge w:val="continue"/>
            <w:vAlign w:val="center"/>
          </w:tcPr>
          <w:p w14:paraId="4A51E77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5B775CF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项目实施方案</w:t>
            </w:r>
          </w:p>
        </w:tc>
        <w:tc>
          <w:tcPr>
            <w:tcW w:w="448" w:type="pct"/>
            <w:vAlign w:val="center"/>
          </w:tcPr>
          <w:p w14:paraId="3E8E3ED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15分</w:t>
            </w:r>
          </w:p>
        </w:tc>
        <w:tc>
          <w:tcPr>
            <w:tcW w:w="3248" w:type="pct"/>
            <w:shd w:val="clear" w:color="auto" w:fill="auto"/>
            <w:vAlign w:val="top"/>
          </w:tcPr>
          <w:p w14:paraId="2571F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对供应商提供的实施方案进行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评定：</w:t>
            </w:r>
          </w:p>
          <w:p w14:paraId="1D1CE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第一档：实施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方案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科学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合理，工作安排满足需求，且针对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强，得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分；</w:t>
            </w:r>
          </w:p>
          <w:p w14:paraId="781AD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第二档：实施方案比较科学合理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，具有一定可行性，得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分；</w:t>
            </w:r>
          </w:p>
          <w:p w14:paraId="60CB4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第三档：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方案内容不全或可行性欠佳，得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分；</w:t>
            </w:r>
          </w:p>
          <w:p w14:paraId="6B1D7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第四档：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未提供方案或方案存在重大缺陷得0分。</w:t>
            </w:r>
          </w:p>
        </w:tc>
      </w:tr>
      <w:tr w14:paraId="7F289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06" w:type="pct"/>
            <w:vMerge w:val="continue"/>
            <w:vAlign w:val="center"/>
          </w:tcPr>
          <w:p w14:paraId="6B724A7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50E3A9A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质量保障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措施</w:t>
            </w:r>
          </w:p>
        </w:tc>
        <w:tc>
          <w:tcPr>
            <w:tcW w:w="448" w:type="pct"/>
            <w:vAlign w:val="center"/>
          </w:tcPr>
          <w:p w14:paraId="71257AB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3248" w:type="pct"/>
            <w:shd w:val="clear" w:color="auto" w:fill="auto"/>
            <w:vAlign w:val="top"/>
          </w:tcPr>
          <w:p w14:paraId="2C762691">
            <w:pPr>
              <w:widowControl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对供应商提供的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质量保障措施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进行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评定：</w:t>
            </w:r>
          </w:p>
          <w:p w14:paraId="63A929FF">
            <w:pPr>
              <w:widowControl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第一档：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质量保障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措施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合理，工作安排满足需求，且针对性强，得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分；</w:t>
            </w:r>
          </w:p>
          <w:p w14:paraId="639221DB">
            <w:pPr>
              <w:widowControl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第二档：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质量保障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措施比较合理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，具有一定可行性，得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分；</w:t>
            </w:r>
          </w:p>
          <w:p w14:paraId="75CD6360">
            <w:pPr>
              <w:widowControl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第三档：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方案内容不全或可行性欠佳，得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分；</w:t>
            </w:r>
          </w:p>
          <w:p w14:paraId="352ABC24">
            <w:pPr>
              <w:widowControl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第四档：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未提供方案或方案存在重大缺陷得0分。</w:t>
            </w:r>
          </w:p>
        </w:tc>
      </w:tr>
      <w:tr w14:paraId="13A5E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06" w:type="pct"/>
            <w:vMerge w:val="continue"/>
            <w:vAlign w:val="center"/>
          </w:tcPr>
          <w:p w14:paraId="4E9D06E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74F1855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安全生产及文明施工措施</w:t>
            </w:r>
          </w:p>
        </w:tc>
        <w:tc>
          <w:tcPr>
            <w:tcW w:w="448" w:type="pct"/>
            <w:vAlign w:val="center"/>
          </w:tcPr>
          <w:p w14:paraId="4955F3E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分</w:t>
            </w:r>
          </w:p>
        </w:tc>
        <w:tc>
          <w:tcPr>
            <w:tcW w:w="3248" w:type="pct"/>
            <w:shd w:val="clear" w:color="auto" w:fill="auto"/>
            <w:vAlign w:val="top"/>
          </w:tcPr>
          <w:p w14:paraId="76A70896">
            <w:pPr>
              <w:widowControl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第一档：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安全保障措施合理，满足需要，且针对性强，得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分；</w:t>
            </w:r>
          </w:p>
          <w:p w14:paraId="6B1475E0">
            <w:pPr>
              <w:widowControl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第二档：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安全保障措施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比较合理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，具有一定可行性，得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分；</w:t>
            </w:r>
          </w:p>
          <w:p w14:paraId="5FA10E98">
            <w:pPr>
              <w:widowControl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第三档：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方案内容不全或可行性欠佳，得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分；</w:t>
            </w:r>
          </w:p>
          <w:p w14:paraId="4221B92C">
            <w:pPr>
              <w:widowControl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第四档：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未提供方案或方案存在重大缺陷得0分。</w:t>
            </w:r>
          </w:p>
        </w:tc>
      </w:tr>
      <w:tr w14:paraId="0509C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06" w:type="pct"/>
            <w:vMerge w:val="continue"/>
            <w:vAlign w:val="center"/>
          </w:tcPr>
          <w:p w14:paraId="24DBEC3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6CFD3C2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项目应急预案</w:t>
            </w:r>
          </w:p>
        </w:tc>
        <w:tc>
          <w:tcPr>
            <w:tcW w:w="448" w:type="pct"/>
            <w:vAlign w:val="center"/>
          </w:tcPr>
          <w:p w14:paraId="3D6246F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3248" w:type="pct"/>
            <w:shd w:val="clear" w:color="auto" w:fill="auto"/>
            <w:vAlign w:val="top"/>
          </w:tcPr>
          <w:p w14:paraId="6248BC4A">
            <w:pPr>
              <w:widowControl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第一档：应急预案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合理，且针对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能够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对突发情况做出有效的应对措施，保障藏品和人员安全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，得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分；</w:t>
            </w:r>
          </w:p>
          <w:p w14:paraId="5CA4A25D">
            <w:pPr>
              <w:widowControl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第二档：应急预案比较合理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，具有一定可行性，得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分；</w:t>
            </w:r>
          </w:p>
          <w:p w14:paraId="75DC7B90">
            <w:pPr>
              <w:widowControl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第三档：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方案内容不全或可行性欠佳，得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分；</w:t>
            </w:r>
          </w:p>
          <w:p w14:paraId="7C507D91">
            <w:pPr>
              <w:widowControl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第四档：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未提供方案或方案存在重大缺陷得0分。</w:t>
            </w:r>
          </w:p>
        </w:tc>
      </w:tr>
      <w:tr w14:paraId="2505A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3" w:type="pct"/>
            <w:gridSpan w:val="2"/>
            <w:vAlign w:val="center"/>
          </w:tcPr>
          <w:p w14:paraId="456DAAD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合计</w:t>
            </w:r>
          </w:p>
        </w:tc>
        <w:tc>
          <w:tcPr>
            <w:tcW w:w="3696" w:type="pct"/>
            <w:gridSpan w:val="2"/>
            <w:vAlign w:val="center"/>
          </w:tcPr>
          <w:p w14:paraId="5CA48B4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100</w:t>
            </w:r>
          </w:p>
        </w:tc>
      </w:tr>
    </w:tbl>
    <w:p w14:paraId="357AB755"/>
    <w:p w14:paraId="136D6CD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D1631"/>
    <w:rsid w:val="319D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420" w:lineRule="exact"/>
      <w:jc w:val="center"/>
    </w:pPr>
    <w:rPr>
      <w:rFonts w:ascii="Times New Roman" w:hAnsi="Times New Roman" w:eastAsia="黑体"/>
      <w:b/>
      <w:sz w:val="28"/>
      <w:lang w:val="en-GB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2025-03-25T01:11:00Z</dcterms:created>
  <dc:creator>Amore</dc:creator>
  <cp:lastModifiedBy>Amore</cp:lastModifiedBy>
  <dcterms:modified xsi:type="dcterms:W3CDTF">2025-03-25T01:12:35Z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4F17BA9831294DEBA21AC64781B1286B_11</vt:lpwstr>
  </property>
  <property fmtid="{D5CDD505-2E9C-101B-9397-08002B2CF9AE}" pid="4" name="KSOTemplateDocerSaveRecord">
    <vt:lpwstr>eyJoZGlkIjoiZDJiODE0MTNmNDEzOTNjYTlkNTM3NTU1OTcyZTE5ZjAiLCJ1c2VySWQiOiIzMzE3OTMxMjEifQ==</vt:lpwstr>
  </property>
</Properties>
</file>