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F65C" w14:textId="77777777" w:rsidR="00ED6424" w:rsidRDefault="00420146">
      <w:pPr>
        <w:jc w:val="center"/>
        <w:rPr>
          <w:rFonts w:ascii="黑体" w:eastAsia="黑体" w:hAnsi="黑体" w:cs="黑体" w:hint="eastAsia"/>
          <w:sz w:val="36"/>
          <w:szCs w:val="36"/>
        </w:rPr>
      </w:pPr>
      <w:r>
        <w:rPr>
          <w:rFonts w:ascii="黑体" w:eastAsia="黑体" w:hAnsi="黑体" w:cs="黑体" w:hint="eastAsia"/>
          <w:sz w:val="36"/>
          <w:szCs w:val="36"/>
        </w:rPr>
        <w:t>河北博物院综合管理及数据可视化平台等级保护测评项目评分标准</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90"/>
        <w:gridCol w:w="6072"/>
      </w:tblGrid>
      <w:tr w:rsidR="00ED6424" w14:paraId="2363818B" w14:textId="77777777">
        <w:trPr>
          <w:trHeight w:val="508"/>
          <w:jc w:val="center"/>
        </w:trPr>
        <w:tc>
          <w:tcPr>
            <w:tcW w:w="1754" w:type="dxa"/>
            <w:shd w:val="clear" w:color="auto" w:fill="auto"/>
            <w:vAlign w:val="center"/>
          </w:tcPr>
          <w:p w14:paraId="22E1AACF" w14:textId="77777777" w:rsidR="00ED6424" w:rsidRDefault="00420146">
            <w:pPr>
              <w:spacing w:line="360" w:lineRule="exact"/>
              <w:jc w:val="center"/>
              <w:rPr>
                <w:b/>
                <w:sz w:val="28"/>
                <w:szCs w:val="28"/>
              </w:rPr>
            </w:pPr>
            <w:r>
              <w:rPr>
                <w:rFonts w:hint="eastAsia"/>
                <w:b/>
                <w:sz w:val="24"/>
                <w:szCs w:val="28"/>
              </w:rPr>
              <w:t>评审内容</w:t>
            </w:r>
          </w:p>
        </w:tc>
        <w:tc>
          <w:tcPr>
            <w:tcW w:w="1690" w:type="dxa"/>
            <w:shd w:val="clear" w:color="auto" w:fill="auto"/>
            <w:vAlign w:val="center"/>
          </w:tcPr>
          <w:p w14:paraId="34A74723" w14:textId="77777777" w:rsidR="00ED6424" w:rsidRDefault="00420146">
            <w:pPr>
              <w:spacing w:line="360" w:lineRule="exact"/>
              <w:jc w:val="center"/>
              <w:rPr>
                <w:b/>
              </w:rPr>
            </w:pPr>
            <w:r>
              <w:rPr>
                <w:rFonts w:hint="eastAsia"/>
                <w:b/>
                <w:sz w:val="24"/>
              </w:rPr>
              <w:t>分值标准</w:t>
            </w:r>
          </w:p>
        </w:tc>
        <w:tc>
          <w:tcPr>
            <w:tcW w:w="6072" w:type="dxa"/>
            <w:shd w:val="clear" w:color="auto" w:fill="auto"/>
            <w:vAlign w:val="center"/>
          </w:tcPr>
          <w:p w14:paraId="5205F39E" w14:textId="77777777" w:rsidR="00ED6424" w:rsidRDefault="00420146">
            <w:pPr>
              <w:spacing w:line="360" w:lineRule="exact"/>
              <w:jc w:val="center"/>
              <w:rPr>
                <w:b/>
              </w:rPr>
            </w:pPr>
            <w:r>
              <w:rPr>
                <w:rFonts w:hint="eastAsia"/>
                <w:b/>
                <w:sz w:val="24"/>
              </w:rPr>
              <w:t>评审标准</w:t>
            </w:r>
          </w:p>
        </w:tc>
      </w:tr>
      <w:tr w:rsidR="00ED6424" w14:paraId="416224AE" w14:textId="77777777">
        <w:trPr>
          <w:jc w:val="center"/>
        </w:trPr>
        <w:tc>
          <w:tcPr>
            <w:tcW w:w="1754" w:type="dxa"/>
            <w:shd w:val="clear" w:color="auto" w:fill="auto"/>
            <w:vAlign w:val="center"/>
          </w:tcPr>
          <w:p w14:paraId="56A171AD" w14:textId="77777777" w:rsidR="00ED6424" w:rsidRDefault="00420146">
            <w:pPr>
              <w:spacing w:line="360" w:lineRule="exact"/>
              <w:jc w:val="center"/>
            </w:pPr>
            <w:r>
              <w:rPr>
                <w:rFonts w:hint="eastAsia"/>
              </w:rPr>
              <w:t>报价</w:t>
            </w:r>
          </w:p>
          <w:p w14:paraId="520BECAA" w14:textId="77777777" w:rsidR="00ED6424" w:rsidRDefault="00420146">
            <w:pPr>
              <w:spacing w:line="360" w:lineRule="exact"/>
              <w:jc w:val="center"/>
            </w:pPr>
            <w:r>
              <w:rPr>
                <w:rFonts w:hint="eastAsia"/>
              </w:rPr>
              <w:t>（共</w:t>
            </w:r>
            <w:r>
              <w:rPr>
                <w:rFonts w:hint="eastAsia"/>
              </w:rPr>
              <w:t>20</w:t>
            </w:r>
            <w:r>
              <w:rPr>
                <w:rFonts w:hint="eastAsia"/>
              </w:rPr>
              <w:t>分）</w:t>
            </w:r>
          </w:p>
        </w:tc>
        <w:tc>
          <w:tcPr>
            <w:tcW w:w="1690" w:type="dxa"/>
            <w:shd w:val="clear" w:color="auto" w:fill="auto"/>
            <w:vAlign w:val="center"/>
          </w:tcPr>
          <w:p w14:paraId="6A420140" w14:textId="77777777" w:rsidR="00ED6424" w:rsidRDefault="00420146">
            <w:pPr>
              <w:spacing w:line="360" w:lineRule="exact"/>
              <w:jc w:val="center"/>
            </w:pPr>
            <w:r>
              <w:rPr>
                <w:rFonts w:hint="eastAsia"/>
              </w:rPr>
              <w:t>投标报价</w:t>
            </w:r>
          </w:p>
          <w:p w14:paraId="2F93B49C" w14:textId="77777777" w:rsidR="00ED6424" w:rsidRDefault="00420146">
            <w:pPr>
              <w:spacing w:line="360" w:lineRule="exact"/>
              <w:jc w:val="center"/>
            </w:pPr>
            <w:r>
              <w:rPr>
                <w:rFonts w:hint="eastAsia"/>
              </w:rPr>
              <w:t>（</w:t>
            </w:r>
            <w:r>
              <w:rPr>
                <w:rFonts w:hint="eastAsia"/>
              </w:rPr>
              <w:t>20</w:t>
            </w:r>
            <w:r>
              <w:rPr>
                <w:rFonts w:hint="eastAsia"/>
              </w:rPr>
              <w:t>分）</w:t>
            </w:r>
          </w:p>
        </w:tc>
        <w:tc>
          <w:tcPr>
            <w:tcW w:w="6072" w:type="dxa"/>
            <w:shd w:val="clear" w:color="auto" w:fill="auto"/>
            <w:vAlign w:val="center"/>
          </w:tcPr>
          <w:p w14:paraId="1CA5AAEA" w14:textId="77777777" w:rsidR="00ED6424" w:rsidRDefault="00420146">
            <w:pPr>
              <w:spacing w:line="360" w:lineRule="exact"/>
              <w:ind w:firstLineChars="200" w:firstLine="420"/>
            </w:pPr>
            <w:r>
              <w:rPr>
                <w:rFonts w:hint="eastAsia"/>
              </w:rPr>
              <w:t>报价得分＝（基准价／最后报价）×</w:t>
            </w:r>
            <w:r>
              <w:rPr>
                <w:rFonts w:hint="eastAsia"/>
              </w:rPr>
              <w:t>20</w:t>
            </w:r>
          </w:p>
          <w:p w14:paraId="548E2606" w14:textId="77777777" w:rsidR="00ED6424" w:rsidRDefault="00420146">
            <w:pPr>
              <w:spacing w:line="360" w:lineRule="exact"/>
              <w:ind w:firstLineChars="200" w:firstLine="420"/>
            </w:pPr>
            <w:r>
              <w:rPr>
                <w:rFonts w:hint="eastAsia"/>
              </w:rPr>
              <w:t>基准价为满足招标文件要求且报价最低的报价。</w:t>
            </w:r>
          </w:p>
        </w:tc>
      </w:tr>
      <w:tr w:rsidR="00ED6424" w14:paraId="21072191" w14:textId="77777777">
        <w:trPr>
          <w:jc w:val="center"/>
        </w:trPr>
        <w:tc>
          <w:tcPr>
            <w:tcW w:w="1754" w:type="dxa"/>
            <w:vMerge w:val="restart"/>
            <w:shd w:val="clear" w:color="auto" w:fill="auto"/>
            <w:vAlign w:val="center"/>
          </w:tcPr>
          <w:p w14:paraId="1489D308" w14:textId="77777777" w:rsidR="00ED6424" w:rsidRDefault="00420146">
            <w:pPr>
              <w:spacing w:line="360" w:lineRule="exact"/>
              <w:jc w:val="center"/>
            </w:pPr>
            <w:r>
              <w:rPr>
                <w:rFonts w:hint="eastAsia"/>
              </w:rPr>
              <w:t>商务部分</w:t>
            </w:r>
          </w:p>
          <w:p w14:paraId="344130E6" w14:textId="77777777" w:rsidR="00ED6424" w:rsidRDefault="00420146">
            <w:pPr>
              <w:spacing w:line="360" w:lineRule="exact"/>
              <w:jc w:val="center"/>
            </w:pPr>
            <w:r>
              <w:rPr>
                <w:rFonts w:hint="eastAsia"/>
              </w:rPr>
              <w:t>（共</w:t>
            </w:r>
            <w:r>
              <w:rPr>
                <w:rFonts w:hint="eastAsia"/>
              </w:rPr>
              <w:t>45</w:t>
            </w:r>
            <w:r>
              <w:rPr>
                <w:rFonts w:hint="eastAsia"/>
              </w:rPr>
              <w:t>分）</w:t>
            </w:r>
          </w:p>
        </w:tc>
        <w:tc>
          <w:tcPr>
            <w:tcW w:w="1690" w:type="dxa"/>
            <w:shd w:val="clear" w:color="auto" w:fill="auto"/>
            <w:vAlign w:val="center"/>
          </w:tcPr>
          <w:p w14:paraId="25DA761A" w14:textId="77777777" w:rsidR="00ED6424" w:rsidRDefault="00420146">
            <w:pPr>
              <w:spacing w:line="360" w:lineRule="exact"/>
              <w:jc w:val="center"/>
            </w:pPr>
            <w:r>
              <w:rPr>
                <w:rFonts w:hint="eastAsia"/>
              </w:rPr>
              <w:t>企业综合实力</w:t>
            </w:r>
          </w:p>
          <w:p w14:paraId="5112557B" w14:textId="77777777" w:rsidR="00ED6424" w:rsidRDefault="00420146">
            <w:pPr>
              <w:spacing w:line="360" w:lineRule="exact"/>
              <w:jc w:val="center"/>
            </w:pPr>
            <w:r>
              <w:rPr>
                <w:rFonts w:hint="eastAsia"/>
              </w:rPr>
              <w:t>（</w:t>
            </w:r>
            <w:r>
              <w:t>1</w:t>
            </w:r>
            <w:r>
              <w:rPr>
                <w:rFonts w:hint="eastAsia"/>
              </w:rPr>
              <w:t>5</w:t>
            </w:r>
            <w:r>
              <w:rPr>
                <w:rFonts w:hint="eastAsia"/>
              </w:rPr>
              <w:t>分）</w:t>
            </w:r>
          </w:p>
        </w:tc>
        <w:tc>
          <w:tcPr>
            <w:tcW w:w="6072" w:type="dxa"/>
            <w:shd w:val="clear" w:color="auto" w:fill="auto"/>
            <w:vAlign w:val="center"/>
          </w:tcPr>
          <w:p w14:paraId="46AD7CCB" w14:textId="77777777" w:rsidR="00ED6424" w:rsidRDefault="00420146">
            <w:pPr>
              <w:spacing w:line="360" w:lineRule="exact"/>
              <w:ind w:firstLineChars="200" w:firstLine="420"/>
            </w:pPr>
            <w:r>
              <w:t>1</w:t>
            </w:r>
            <w:r>
              <w:t>．</w:t>
            </w:r>
            <w:r>
              <w:rPr>
                <w:rFonts w:hint="eastAsia"/>
              </w:rPr>
              <w:t>比选申请人具备</w:t>
            </w:r>
            <w:r>
              <w:rPr>
                <w:rFonts w:hint="eastAsia"/>
              </w:rPr>
              <w:t>ISO27001</w:t>
            </w:r>
            <w:r>
              <w:rPr>
                <w:rFonts w:hint="eastAsia"/>
              </w:rPr>
              <w:t>信息安全管理体系认证证书、</w:t>
            </w:r>
            <w:r>
              <w:rPr>
                <w:rFonts w:hint="eastAsia"/>
              </w:rPr>
              <w:t>IS020000</w:t>
            </w:r>
            <w:r>
              <w:rPr>
                <w:rFonts w:hint="eastAsia"/>
              </w:rPr>
              <w:t>信息技术服务管理体系认证证书，每具备一项得</w:t>
            </w:r>
            <w:r>
              <w:rPr>
                <w:rFonts w:hint="eastAsia"/>
              </w:rPr>
              <w:t>1</w:t>
            </w:r>
            <w:r>
              <w:rPr>
                <w:rFonts w:hint="eastAsia"/>
              </w:rPr>
              <w:t>分，最高得</w:t>
            </w:r>
            <w:r>
              <w:rPr>
                <w:rFonts w:hint="eastAsia"/>
              </w:rPr>
              <w:t>2</w:t>
            </w:r>
            <w:r>
              <w:rPr>
                <w:rFonts w:hint="eastAsia"/>
              </w:rPr>
              <w:t>分，不具备得</w:t>
            </w:r>
            <w:r>
              <w:rPr>
                <w:rFonts w:hint="eastAsia"/>
              </w:rPr>
              <w:t>0</w:t>
            </w:r>
            <w:r>
              <w:rPr>
                <w:rFonts w:hint="eastAsia"/>
              </w:rPr>
              <w:t>分。</w:t>
            </w:r>
          </w:p>
          <w:p w14:paraId="2C865CE4" w14:textId="77777777" w:rsidR="00ED6424" w:rsidRDefault="00420146">
            <w:pPr>
              <w:spacing w:line="360" w:lineRule="exact"/>
              <w:ind w:firstLineChars="200" w:firstLine="420"/>
            </w:pPr>
            <w:r>
              <w:t>2</w:t>
            </w:r>
            <w:r>
              <w:t>．</w:t>
            </w:r>
            <w:r>
              <w:rPr>
                <w:rFonts w:hint="eastAsia"/>
              </w:rPr>
              <w:t>比选申请人具有国家信息安全漏洞库</w:t>
            </w:r>
            <w:r>
              <w:rPr>
                <w:rFonts w:hint="eastAsia"/>
              </w:rPr>
              <w:t>(CNNVD)</w:t>
            </w:r>
            <w:r>
              <w:rPr>
                <w:rFonts w:hint="eastAsia"/>
              </w:rPr>
              <w:t>技术支撑单位等级证书的得</w:t>
            </w:r>
            <w:r>
              <w:rPr>
                <w:rFonts w:hint="eastAsia"/>
              </w:rPr>
              <w:t>5</w:t>
            </w:r>
            <w:r>
              <w:rPr>
                <w:rFonts w:hint="eastAsia"/>
              </w:rPr>
              <w:t>分，不具备的得</w:t>
            </w:r>
            <w:r>
              <w:rPr>
                <w:rFonts w:hint="eastAsia"/>
              </w:rPr>
              <w:t>0</w:t>
            </w:r>
            <w:r>
              <w:rPr>
                <w:rFonts w:hint="eastAsia"/>
              </w:rPr>
              <w:t>分。</w:t>
            </w:r>
          </w:p>
          <w:p w14:paraId="5B121682" w14:textId="77777777" w:rsidR="00ED6424" w:rsidRDefault="00420146">
            <w:pPr>
              <w:spacing w:line="360" w:lineRule="exact"/>
              <w:ind w:firstLineChars="200" w:firstLine="420"/>
            </w:pPr>
            <w:r>
              <w:t>3</w:t>
            </w:r>
            <w:r>
              <w:t>．</w:t>
            </w:r>
            <w:r>
              <w:rPr>
                <w:rFonts w:hint="eastAsia"/>
              </w:rPr>
              <w:t>比选申请人具备</w:t>
            </w:r>
            <w:r>
              <w:rPr>
                <w:rFonts w:hint="eastAsia"/>
              </w:rPr>
              <w:t>CCRC</w:t>
            </w:r>
            <w:r>
              <w:rPr>
                <w:rFonts w:hint="eastAsia"/>
              </w:rPr>
              <w:t>信息安全服务资质认证证书——信息安全风险评估服务资质，一级得</w:t>
            </w:r>
            <w:r>
              <w:rPr>
                <w:rFonts w:hint="eastAsia"/>
              </w:rPr>
              <w:t>5</w:t>
            </w:r>
            <w:r>
              <w:rPr>
                <w:rFonts w:hint="eastAsia"/>
              </w:rPr>
              <w:t>分，二级得</w:t>
            </w:r>
            <w:r>
              <w:rPr>
                <w:rFonts w:hint="eastAsia"/>
              </w:rPr>
              <w:t>3</w:t>
            </w:r>
            <w:r>
              <w:rPr>
                <w:rFonts w:hint="eastAsia"/>
              </w:rPr>
              <w:t>分，三级得</w:t>
            </w:r>
            <w:r>
              <w:rPr>
                <w:rFonts w:hint="eastAsia"/>
              </w:rPr>
              <w:t>2</w:t>
            </w:r>
            <w:r>
              <w:rPr>
                <w:rFonts w:hint="eastAsia"/>
              </w:rPr>
              <w:t>分，不具备得</w:t>
            </w:r>
            <w:r>
              <w:rPr>
                <w:rFonts w:hint="eastAsia"/>
              </w:rPr>
              <w:t>0</w:t>
            </w:r>
            <w:r>
              <w:rPr>
                <w:rFonts w:hint="eastAsia"/>
              </w:rPr>
              <w:t>分。</w:t>
            </w:r>
          </w:p>
          <w:p w14:paraId="3159E5BD" w14:textId="77777777" w:rsidR="00ED6424" w:rsidRDefault="00420146">
            <w:pPr>
              <w:spacing w:line="360" w:lineRule="exact"/>
              <w:ind w:firstLineChars="200" w:firstLine="420"/>
            </w:pPr>
            <w:r>
              <w:t>4</w:t>
            </w:r>
            <w:r>
              <w:t>．</w:t>
            </w:r>
            <w:r>
              <w:rPr>
                <w:rFonts w:hint="eastAsia"/>
              </w:rPr>
              <w:t>比选申请人具有国家重大活动网络安全保卫技术支撑经验，并提供证明材料（加盖公章），每提供一份得</w:t>
            </w:r>
            <w:r>
              <w:rPr>
                <w:rFonts w:hint="eastAsia"/>
              </w:rPr>
              <w:t>1.5</w:t>
            </w:r>
            <w:r>
              <w:rPr>
                <w:rFonts w:hint="eastAsia"/>
              </w:rPr>
              <w:t>分，最高得</w:t>
            </w:r>
            <w:r>
              <w:rPr>
                <w:rFonts w:hint="eastAsia"/>
              </w:rPr>
              <w:t>3</w:t>
            </w:r>
            <w:r>
              <w:rPr>
                <w:rFonts w:hint="eastAsia"/>
              </w:rPr>
              <w:t>分。</w:t>
            </w:r>
          </w:p>
          <w:p w14:paraId="35C4A79A" w14:textId="77777777" w:rsidR="00ED6424" w:rsidRDefault="00420146">
            <w:pPr>
              <w:spacing w:line="360" w:lineRule="exact"/>
              <w:ind w:firstLineChars="200" w:firstLine="420"/>
            </w:pPr>
            <w:r>
              <w:rPr>
                <w:rFonts w:hint="eastAsia"/>
              </w:rPr>
              <w:t>注：需提供有效期的相关资质证书复印件并加盖比选申请人公章，否则不予认可。</w:t>
            </w:r>
          </w:p>
        </w:tc>
      </w:tr>
      <w:tr w:rsidR="00ED6424" w14:paraId="305BA7CD" w14:textId="77777777">
        <w:trPr>
          <w:jc w:val="center"/>
        </w:trPr>
        <w:tc>
          <w:tcPr>
            <w:tcW w:w="1754" w:type="dxa"/>
            <w:vMerge/>
            <w:shd w:val="clear" w:color="auto" w:fill="auto"/>
            <w:vAlign w:val="center"/>
          </w:tcPr>
          <w:p w14:paraId="16D1A650" w14:textId="77777777" w:rsidR="00ED6424" w:rsidRDefault="00ED6424">
            <w:pPr>
              <w:spacing w:line="360" w:lineRule="exact"/>
              <w:jc w:val="center"/>
            </w:pPr>
          </w:p>
        </w:tc>
        <w:tc>
          <w:tcPr>
            <w:tcW w:w="1690" w:type="dxa"/>
            <w:shd w:val="clear" w:color="auto" w:fill="auto"/>
            <w:vAlign w:val="center"/>
          </w:tcPr>
          <w:p w14:paraId="0E49FD34" w14:textId="77777777" w:rsidR="00ED6424" w:rsidRDefault="00420146">
            <w:pPr>
              <w:spacing w:line="360" w:lineRule="exact"/>
              <w:jc w:val="center"/>
            </w:pPr>
            <w:r>
              <w:rPr>
                <w:rFonts w:hint="eastAsia"/>
              </w:rPr>
              <w:t>相似</w:t>
            </w:r>
            <w:r>
              <w:t>业绩</w:t>
            </w:r>
          </w:p>
          <w:p w14:paraId="6DCBBFC6" w14:textId="77777777" w:rsidR="00ED6424" w:rsidRDefault="00420146">
            <w:pPr>
              <w:spacing w:line="360" w:lineRule="exact"/>
              <w:jc w:val="center"/>
            </w:pPr>
            <w:r>
              <w:t>（</w:t>
            </w:r>
            <w:r>
              <w:t>1</w:t>
            </w:r>
            <w:r>
              <w:rPr>
                <w:rFonts w:hint="eastAsia"/>
              </w:rPr>
              <w:t>0</w:t>
            </w:r>
            <w:r>
              <w:t>分）</w:t>
            </w:r>
          </w:p>
        </w:tc>
        <w:tc>
          <w:tcPr>
            <w:tcW w:w="6072" w:type="dxa"/>
            <w:shd w:val="clear" w:color="auto" w:fill="auto"/>
          </w:tcPr>
          <w:p w14:paraId="21BF5092" w14:textId="77777777" w:rsidR="00ED6424" w:rsidRDefault="00420146">
            <w:pPr>
              <w:spacing w:line="360" w:lineRule="exact"/>
              <w:ind w:firstLineChars="200" w:firstLine="420"/>
            </w:pPr>
            <w:r>
              <w:rPr>
                <w:rFonts w:hint="eastAsia"/>
              </w:rPr>
              <w:t>近三年内，每具备</w:t>
            </w:r>
            <w:r>
              <w:rPr>
                <w:rFonts w:hint="eastAsia"/>
              </w:rPr>
              <w:t>1</w:t>
            </w:r>
            <w:r>
              <w:rPr>
                <w:rFonts w:hint="eastAsia"/>
              </w:rPr>
              <w:t>个等保测评服务合同案例，得</w:t>
            </w:r>
            <w:r>
              <w:rPr>
                <w:rFonts w:hint="eastAsia"/>
              </w:rPr>
              <w:t>2</w:t>
            </w:r>
            <w:r>
              <w:rPr>
                <w:rFonts w:hint="eastAsia"/>
              </w:rPr>
              <w:t>分，此项</w:t>
            </w:r>
            <w:r>
              <w:t>最高得</w:t>
            </w:r>
            <w:r>
              <w:t>1</w:t>
            </w:r>
            <w:r>
              <w:rPr>
                <w:rFonts w:hint="eastAsia"/>
              </w:rPr>
              <w:t>0</w:t>
            </w:r>
            <w:r>
              <w:t>分</w:t>
            </w:r>
            <w:r>
              <w:rPr>
                <w:rFonts w:hint="eastAsia"/>
              </w:rPr>
              <w:t>。</w:t>
            </w:r>
          </w:p>
          <w:p w14:paraId="41EC67D0" w14:textId="77777777" w:rsidR="00ED6424" w:rsidRDefault="00420146">
            <w:pPr>
              <w:spacing w:line="360" w:lineRule="exact"/>
              <w:ind w:firstLineChars="200" w:firstLine="422"/>
            </w:pPr>
            <w:r>
              <w:rPr>
                <w:b/>
                <w:bCs/>
              </w:rPr>
              <w:t>注</w:t>
            </w:r>
            <w:r>
              <w:rPr>
                <w:b/>
                <w:bCs/>
              </w:rPr>
              <w:t>:</w:t>
            </w:r>
            <w:r>
              <w:rPr>
                <w:b/>
                <w:bCs/>
              </w:rPr>
              <w:t>以与最终用户签订的合同原件</w:t>
            </w:r>
            <w:r>
              <w:rPr>
                <w:rFonts w:hint="eastAsia"/>
                <w:b/>
                <w:bCs/>
              </w:rPr>
              <w:t>（或复印件）</w:t>
            </w:r>
            <w:r>
              <w:rPr>
                <w:b/>
                <w:bCs/>
              </w:rPr>
              <w:t>为准</w:t>
            </w:r>
            <w:r>
              <w:rPr>
                <w:rFonts w:hint="eastAsia"/>
                <w:b/>
                <w:bCs/>
              </w:rPr>
              <w:t>。</w:t>
            </w:r>
          </w:p>
        </w:tc>
      </w:tr>
      <w:tr w:rsidR="00ED6424" w14:paraId="022D63EC" w14:textId="77777777">
        <w:trPr>
          <w:jc w:val="center"/>
        </w:trPr>
        <w:tc>
          <w:tcPr>
            <w:tcW w:w="1754" w:type="dxa"/>
            <w:vMerge/>
            <w:shd w:val="clear" w:color="auto" w:fill="auto"/>
            <w:vAlign w:val="center"/>
          </w:tcPr>
          <w:p w14:paraId="2A4988B4" w14:textId="77777777" w:rsidR="00ED6424" w:rsidRDefault="00ED6424">
            <w:pPr>
              <w:spacing w:line="360" w:lineRule="exact"/>
              <w:jc w:val="center"/>
            </w:pPr>
          </w:p>
        </w:tc>
        <w:tc>
          <w:tcPr>
            <w:tcW w:w="1690" w:type="dxa"/>
            <w:shd w:val="clear" w:color="auto" w:fill="auto"/>
            <w:vAlign w:val="center"/>
          </w:tcPr>
          <w:p w14:paraId="4CE5EC5B" w14:textId="77777777" w:rsidR="00ED6424" w:rsidRDefault="00420146">
            <w:pPr>
              <w:spacing w:line="360" w:lineRule="exact"/>
              <w:jc w:val="center"/>
            </w:pPr>
            <w:r>
              <w:rPr>
                <w:rFonts w:hint="eastAsia"/>
              </w:rPr>
              <w:t>项目人员配置</w:t>
            </w:r>
          </w:p>
          <w:p w14:paraId="144EC739" w14:textId="77777777" w:rsidR="00ED6424" w:rsidRDefault="00420146">
            <w:pPr>
              <w:spacing w:line="360" w:lineRule="exact"/>
              <w:jc w:val="center"/>
            </w:pPr>
            <w:r>
              <w:rPr>
                <w:rFonts w:hint="eastAsia"/>
              </w:rPr>
              <w:t>（</w:t>
            </w:r>
            <w:r>
              <w:rPr>
                <w:rFonts w:hint="eastAsia"/>
              </w:rPr>
              <w:t>20</w:t>
            </w:r>
            <w:r>
              <w:rPr>
                <w:rFonts w:hint="eastAsia"/>
              </w:rPr>
              <w:t>分）</w:t>
            </w:r>
          </w:p>
        </w:tc>
        <w:tc>
          <w:tcPr>
            <w:tcW w:w="6072" w:type="dxa"/>
            <w:shd w:val="clear" w:color="auto" w:fill="auto"/>
          </w:tcPr>
          <w:p w14:paraId="26162F4D" w14:textId="77777777" w:rsidR="00ED6424" w:rsidRDefault="00420146">
            <w:pPr>
              <w:spacing w:line="360" w:lineRule="exact"/>
              <w:ind w:firstLineChars="200" w:firstLine="420"/>
            </w:pPr>
            <w:r>
              <w:rPr>
                <w:rFonts w:hint="eastAsia"/>
              </w:rPr>
              <w:t>1</w:t>
            </w:r>
            <w:r>
              <w:rPr>
                <w:rFonts w:hint="eastAsia"/>
              </w:rPr>
              <w:t>、项目团队配备不少于两名高级测评师的，至少一名高级测评师同时每具备注册网络安全渗透评估专业人员（</w:t>
            </w:r>
            <w:r>
              <w:rPr>
                <w:rFonts w:hint="eastAsia"/>
              </w:rPr>
              <w:t>NSATP-A</w:t>
            </w:r>
            <w:r>
              <w:rPr>
                <w:rFonts w:hint="eastAsia"/>
              </w:rPr>
              <w:t>）、</w:t>
            </w:r>
            <w:r>
              <w:rPr>
                <w:rFonts w:hint="eastAsia"/>
              </w:rPr>
              <w:t>CCRC-DSO</w:t>
            </w:r>
            <w:r>
              <w:rPr>
                <w:rFonts w:hint="eastAsia"/>
              </w:rPr>
              <w:t>数据安全官、应急响应能力认证（</w:t>
            </w:r>
            <w:r>
              <w:rPr>
                <w:rFonts w:hint="eastAsia"/>
              </w:rPr>
              <w:t>CCSS-R</w:t>
            </w:r>
            <w:r>
              <w:rPr>
                <w:rFonts w:hint="eastAsia"/>
              </w:rPr>
              <w:t>）证书得</w:t>
            </w:r>
            <w:r>
              <w:rPr>
                <w:rFonts w:hint="eastAsia"/>
              </w:rPr>
              <w:t>2</w:t>
            </w:r>
            <w:r>
              <w:rPr>
                <w:rFonts w:hint="eastAsia"/>
              </w:rPr>
              <w:t>分，最高得</w:t>
            </w:r>
            <w:r>
              <w:rPr>
                <w:rFonts w:hint="eastAsia"/>
              </w:rPr>
              <w:t>6</w:t>
            </w:r>
            <w:r>
              <w:rPr>
                <w:rFonts w:hint="eastAsia"/>
              </w:rPr>
              <w:t>分；</w:t>
            </w:r>
          </w:p>
          <w:p w14:paraId="01418408" w14:textId="77777777" w:rsidR="00ED6424" w:rsidRDefault="00420146">
            <w:pPr>
              <w:spacing w:line="360" w:lineRule="exact"/>
              <w:ind w:firstLineChars="200" w:firstLine="420"/>
            </w:pPr>
            <w:r>
              <w:rPr>
                <w:rFonts w:hint="eastAsia"/>
              </w:rPr>
              <w:t>2</w:t>
            </w:r>
            <w:r>
              <w:rPr>
                <w:rFonts w:hint="eastAsia"/>
              </w:rPr>
              <w:t>、中级测评师同时每具有数据安全工程师、信息安全保障人员认证证书</w:t>
            </w:r>
            <w:r>
              <w:rPr>
                <w:rFonts w:hint="eastAsia"/>
              </w:rPr>
              <w:t>CISAW</w:t>
            </w:r>
            <w:r>
              <w:rPr>
                <w:rFonts w:hint="eastAsia"/>
              </w:rPr>
              <w:t>（应急服务方向）、</w:t>
            </w:r>
            <w:r>
              <w:rPr>
                <w:rFonts w:hint="eastAsia"/>
              </w:rPr>
              <w:t>CCRC-DSA</w:t>
            </w:r>
            <w:r>
              <w:rPr>
                <w:rFonts w:hint="eastAsia"/>
              </w:rPr>
              <w:t>数据安全评估师、注册渗透测试工程师（</w:t>
            </w:r>
            <w:r>
              <w:rPr>
                <w:rFonts w:hint="eastAsia"/>
              </w:rPr>
              <w:t>CISP-PTE</w:t>
            </w:r>
            <w:r>
              <w:rPr>
                <w:rFonts w:hint="eastAsia"/>
              </w:rPr>
              <w:t>）证书的，得</w:t>
            </w:r>
            <w:r>
              <w:rPr>
                <w:rFonts w:hint="eastAsia"/>
              </w:rPr>
              <w:t>2</w:t>
            </w:r>
            <w:r>
              <w:rPr>
                <w:rFonts w:hint="eastAsia"/>
              </w:rPr>
              <w:t>分，最高得</w:t>
            </w:r>
            <w:r>
              <w:rPr>
                <w:rFonts w:hint="eastAsia"/>
              </w:rPr>
              <w:t>8</w:t>
            </w:r>
            <w:r>
              <w:rPr>
                <w:rFonts w:hint="eastAsia"/>
              </w:rPr>
              <w:t>分。</w:t>
            </w:r>
          </w:p>
          <w:p w14:paraId="5F0E491E" w14:textId="77777777" w:rsidR="00ED6424" w:rsidRDefault="00420146">
            <w:pPr>
              <w:spacing w:line="360" w:lineRule="exact"/>
              <w:ind w:firstLineChars="200" w:firstLine="420"/>
            </w:pPr>
            <w:r>
              <w:rPr>
                <w:rFonts w:hint="eastAsia"/>
              </w:rPr>
              <w:t>3</w:t>
            </w:r>
            <w:r>
              <w:rPr>
                <w:rFonts w:hint="eastAsia"/>
              </w:rPr>
              <w:t>、项目团队成员需具备网络实战攻防经验，项目团队成员具有网鼎杯等国家级网络实战攻防演练经验并获得一等奖的得</w:t>
            </w:r>
            <w:r>
              <w:rPr>
                <w:rFonts w:hint="eastAsia"/>
              </w:rPr>
              <w:t>6</w:t>
            </w:r>
            <w:r>
              <w:rPr>
                <w:rFonts w:hint="eastAsia"/>
              </w:rPr>
              <w:t>分，二等奖得</w:t>
            </w:r>
            <w:r>
              <w:rPr>
                <w:rFonts w:hint="eastAsia"/>
              </w:rPr>
              <w:t>3</w:t>
            </w:r>
            <w:r>
              <w:rPr>
                <w:rFonts w:hint="eastAsia"/>
              </w:rPr>
              <w:t>分，三等奖得</w:t>
            </w:r>
            <w:r>
              <w:rPr>
                <w:rFonts w:hint="eastAsia"/>
              </w:rPr>
              <w:t>1</w:t>
            </w:r>
            <w:r>
              <w:rPr>
                <w:rFonts w:hint="eastAsia"/>
              </w:rPr>
              <w:t>分。</w:t>
            </w:r>
          </w:p>
          <w:p w14:paraId="01A32EC9" w14:textId="05533960" w:rsidR="00ED6424" w:rsidRDefault="00420146">
            <w:pPr>
              <w:spacing w:line="360" w:lineRule="exact"/>
              <w:ind w:firstLineChars="200" w:firstLine="420"/>
            </w:pPr>
            <w:r>
              <w:rPr>
                <w:rFonts w:hint="eastAsia"/>
              </w:rPr>
              <w:t>以上人员均需提供</w:t>
            </w:r>
            <w:r w:rsidR="00D206F0">
              <w:rPr>
                <w:rFonts w:hint="eastAsia"/>
              </w:rPr>
              <w:t>比选申请人</w:t>
            </w:r>
            <w:r>
              <w:rPr>
                <w:rFonts w:hint="eastAsia"/>
              </w:rPr>
              <w:t>单位近半年缴纳社会保险的证明。</w:t>
            </w:r>
          </w:p>
        </w:tc>
      </w:tr>
      <w:tr w:rsidR="00ED6424" w14:paraId="642FDEF6" w14:textId="77777777">
        <w:trPr>
          <w:jc w:val="center"/>
        </w:trPr>
        <w:tc>
          <w:tcPr>
            <w:tcW w:w="1754" w:type="dxa"/>
            <w:vMerge w:val="restart"/>
            <w:shd w:val="clear" w:color="auto" w:fill="auto"/>
            <w:vAlign w:val="center"/>
          </w:tcPr>
          <w:p w14:paraId="7E26B74C" w14:textId="77777777" w:rsidR="00ED6424" w:rsidRDefault="00420146">
            <w:pPr>
              <w:spacing w:line="360" w:lineRule="exact"/>
              <w:jc w:val="center"/>
            </w:pPr>
            <w:r>
              <w:rPr>
                <w:rFonts w:hint="eastAsia"/>
              </w:rPr>
              <w:t>技术部分</w:t>
            </w:r>
          </w:p>
          <w:p w14:paraId="3B290CD4" w14:textId="77777777" w:rsidR="00ED6424" w:rsidRDefault="00420146">
            <w:pPr>
              <w:spacing w:line="360" w:lineRule="exact"/>
              <w:jc w:val="center"/>
            </w:pPr>
            <w:r>
              <w:rPr>
                <w:rFonts w:hint="eastAsia"/>
              </w:rPr>
              <w:t>（共</w:t>
            </w:r>
            <w:r>
              <w:rPr>
                <w:rFonts w:hint="eastAsia"/>
              </w:rPr>
              <w:t>35</w:t>
            </w:r>
            <w:r>
              <w:rPr>
                <w:rFonts w:hint="eastAsia"/>
              </w:rPr>
              <w:t>分）</w:t>
            </w:r>
          </w:p>
        </w:tc>
        <w:tc>
          <w:tcPr>
            <w:tcW w:w="1690" w:type="dxa"/>
            <w:shd w:val="clear" w:color="auto" w:fill="auto"/>
            <w:vAlign w:val="center"/>
          </w:tcPr>
          <w:p w14:paraId="7C3A32AC" w14:textId="77777777" w:rsidR="00ED6424" w:rsidRDefault="00420146">
            <w:pPr>
              <w:spacing w:line="360" w:lineRule="exact"/>
              <w:jc w:val="center"/>
              <w:rPr>
                <w:color w:val="000000" w:themeColor="text1"/>
              </w:rPr>
            </w:pPr>
            <w:r>
              <w:rPr>
                <w:rFonts w:hint="eastAsia"/>
                <w:color w:val="000000" w:themeColor="text1"/>
              </w:rPr>
              <w:t>技术方案</w:t>
            </w:r>
          </w:p>
          <w:p w14:paraId="0D4D5081" w14:textId="77777777" w:rsidR="00ED6424" w:rsidRDefault="00420146">
            <w:pPr>
              <w:spacing w:line="360" w:lineRule="exact"/>
              <w:jc w:val="center"/>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分）</w:t>
            </w:r>
          </w:p>
        </w:tc>
        <w:tc>
          <w:tcPr>
            <w:tcW w:w="6072" w:type="dxa"/>
            <w:shd w:val="clear" w:color="auto" w:fill="auto"/>
            <w:vAlign w:val="center"/>
          </w:tcPr>
          <w:p w14:paraId="0335577C" w14:textId="77777777" w:rsidR="00ED6424" w:rsidRDefault="00420146">
            <w:pPr>
              <w:spacing w:line="360" w:lineRule="exact"/>
              <w:ind w:firstLineChars="200" w:firstLine="420"/>
              <w:rPr>
                <w:color w:val="000000" w:themeColor="text1"/>
              </w:rPr>
            </w:pPr>
            <w:r>
              <w:rPr>
                <w:rFonts w:hint="eastAsia"/>
                <w:color w:val="000000" w:themeColor="text1"/>
              </w:rPr>
              <w:t>第一档：技术方案先进、合理、完整，思路清晰，符合国家相关标准和规范，完全满足采购需求。方案结构层次结构合理，</w:t>
            </w:r>
            <w:r>
              <w:rPr>
                <w:rFonts w:hint="eastAsia"/>
                <w:color w:val="000000" w:themeColor="text1"/>
              </w:rPr>
              <w:lastRenderedPageBreak/>
              <w:t>结构清晰，完全符合标准要求，得</w:t>
            </w:r>
            <w:r>
              <w:rPr>
                <w:rFonts w:hint="eastAsia"/>
                <w:color w:val="000000" w:themeColor="text1"/>
              </w:rPr>
              <w:t>15</w:t>
            </w:r>
            <w:r>
              <w:rPr>
                <w:rFonts w:hint="eastAsia"/>
                <w:color w:val="000000" w:themeColor="text1"/>
              </w:rPr>
              <w:t>分；</w:t>
            </w:r>
            <w:r>
              <w:rPr>
                <w:rFonts w:hint="eastAsia"/>
                <w:color w:val="000000" w:themeColor="text1"/>
              </w:rPr>
              <w:t xml:space="preserve"> </w:t>
            </w:r>
          </w:p>
          <w:p w14:paraId="0AFE817A" w14:textId="64F86AD4" w:rsidR="00ED6424" w:rsidRDefault="00420146">
            <w:pPr>
              <w:spacing w:line="360" w:lineRule="exact"/>
              <w:ind w:firstLineChars="200" w:firstLine="420"/>
              <w:rPr>
                <w:color w:val="000000" w:themeColor="text1"/>
              </w:rPr>
            </w:pPr>
            <w:r>
              <w:rPr>
                <w:rFonts w:hint="eastAsia"/>
                <w:color w:val="000000" w:themeColor="text1"/>
              </w:rPr>
              <w:t>第二档：技术方案基本合理，符合国家相关标准和规范，基本满足采购需求。软件结构层次结构较合理，结构较清晰</w:t>
            </w:r>
            <w:r w:rsidR="00B53288">
              <w:rPr>
                <w:rFonts w:hint="eastAsia"/>
                <w:color w:val="000000" w:themeColor="text1"/>
              </w:rPr>
              <w:t>，</w:t>
            </w:r>
            <w:r>
              <w:rPr>
                <w:rFonts w:hint="eastAsia"/>
                <w:color w:val="000000" w:themeColor="text1"/>
              </w:rPr>
              <w:t>得</w:t>
            </w:r>
            <w:r w:rsidR="00107564">
              <w:rPr>
                <w:rFonts w:hint="eastAsia"/>
                <w:color w:val="000000" w:themeColor="text1"/>
              </w:rPr>
              <w:t>9</w:t>
            </w:r>
            <w:r>
              <w:rPr>
                <w:rFonts w:hint="eastAsia"/>
                <w:color w:val="000000" w:themeColor="text1"/>
              </w:rPr>
              <w:t>分；</w:t>
            </w:r>
            <w:r>
              <w:rPr>
                <w:rFonts w:hint="eastAsia"/>
                <w:color w:val="000000" w:themeColor="text1"/>
              </w:rPr>
              <w:t xml:space="preserve"> </w:t>
            </w:r>
          </w:p>
          <w:p w14:paraId="1C83BD84" w14:textId="62CA222D" w:rsidR="00ED6424" w:rsidRDefault="00420146">
            <w:pPr>
              <w:spacing w:line="360" w:lineRule="exact"/>
              <w:ind w:firstLineChars="200" w:firstLine="420"/>
              <w:rPr>
                <w:color w:val="000000" w:themeColor="text1"/>
              </w:rPr>
            </w:pPr>
            <w:r>
              <w:rPr>
                <w:rFonts w:hint="eastAsia"/>
                <w:color w:val="000000" w:themeColor="text1"/>
              </w:rPr>
              <w:t>第三档：技术方案在满足用户要求方面欠缺，思路欠清晰，低于其他档次供应商。软件结构层次结构欠合理或结构欠清晰</w:t>
            </w:r>
            <w:r w:rsidR="00B53288">
              <w:rPr>
                <w:rFonts w:hint="eastAsia"/>
                <w:color w:val="000000" w:themeColor="text1"/>
              </w:rPr>
              <w:t>，</w:t>
            </w:r>
            <w:r>
              <w:rPr>
                <w:rFonts w:hint="eastAsia"/>
                <w:color w:val="000000" w:themeColor="text1"/>
              </w:rPr>
              <w:t>得</w:t>
            </w:r>
            <w:r w:rsidR="00107564">
              <w:rPr>
                <w:rFonts w:hint="eastAsia"/>
                <w:color w:val="000000" w:themeColor="text1"/>
              </w:rPr>
              <w:t>3</w:t>
            </w:r>
            <w:r>
              <w:rPr>
                <w:rFonts w:hint="eastAsia"/>
                <w:color w:val="000000" w:themeColor="text1"/>
              </w:rPr>
              <w:t>分</w:t>
            </w:r>
            <w:r w:rsidR="000B3FAF">
              <w:rPr>
                <w:rFonts w:hint="eastAsia"/>
                <w:color w:val="000000" w:themeColor="text1"/>
              </w:rPr>
              <w:t>；</w:t>
            </w:r>
          </w:p>
          <w:p w14:paraId="0029F305" w14:textId="07DE8CD7" w:rsidR="00C90944" w:rsidRDefault="00C90944">
            <w:pPr>
              <w:spacing w:line="360" w:lineRule="exact"/>
              <w:ind w:firstLineChars="200" w:firstLine="420"/>
              <w:rPr>
                <w:color w:val="000000" w:themeColor="text1"/>
              </w:rPr>
            </w:pPr>
            <w:r>
              <w:rPr>
                <w:rFonts w:hint="eastAsia"/>
                <w:color w:val="000000" w:themeColor="text1"/>
              </w:rPr>
              <w:t>缺项得</w:t>
            </w:r>
            <w:r>
              <w:rPr>
                <w:rFonts w:hint="eastAsia"/>
                <w:color w:val="000000" w:themeColor="text1"/>
              </w:rPr>
              <w:t>0</w:t>
            </w:r>
            <w:r>
              <w:rPr>
                <w:rFonts w:hint="eastAsia"/>
                <w:color w:val="000000" w:themeColor="text1"/>
              </w:rPr>
              <w:t>分。</w:t>
            </w:r>
          </w:p>
        </w:tc>
      </w:tr>
      <w:tr w:rsidR="00ED6424" w14:paraId="555F74AE" w14:textId="77777777">
        <w:trPr>
          <w:jc w:val="center"/>
        </w:trPr>
        <w:tc>
          <w:tcPr>
            <w:tcW w:w="1754" w:type="dxa"/>
            <w:vMerge/>
            <w:shd w:val="clear" w:color="auto" w:fill="auto"/>
            <w:vAlign w:val="center"/>
          </w:tcPr>
          <w:p w14:paraId="3F1FDB35" w14:textId="77777777" w:rsidR="00ED6424" w:rsidRDefault="00ED6424">
            <w:pPr>
              <w:spacing w:line="360" w:lineRule="exact"/>
              <w:jc w:val="center"/>
            </w:pPr>
          </w:p>
        </w:tc>
        <w:tc>
          <w:tcPr>
            <w:tcW w:w="1690" w:type="dxa"/>
            <w:shd w:val="clear" w:color="auto" w:fill="auto"/>
            <w:vAlign w:val="center"/>
          </w:tcPr>
          <w:p w14:paraId="5FD21D43" w14:textId="77777777" w:rsidR="00ED6424" w:rsidRDefault="00420146">
            <w:pPr>
              <w:spacing w:line="360" w:lineRule="exact"/>
              <w:jc w:val="center"/>
              <w:rPr>
                <w:color w:val="000000" w:themeColor="text1"/>
              </w:rPr>
            </w:pPr>
            <w:r>
              <w:rPr>
                <w:rFonts w:hint="eastAsia"/>
                <w:color w:val="000000" w:themeColor="text1"/>
              </w:rPr>
              <w:t>培训方案</w:t>
            </w:r>
          </w:p>
          <w:p w14:paraId="6D67BF36" w14:textId="77777777" w:rsidR="00ED6424" w:rsidRDefault="00420146">
            <w:pPr>
              <w:spacing w:line="360" w:lineRule="exact"/>
              <w:jc w:val="cente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分）</w:t>
            </w:r>
          </w:p>
        </w:tc>
        <w:tc>
          <w:tcPr>
            <w:tcW w:w="6072" w:type="dxa"/>
            <w:shd w:val="clear" w:color="auto" w:fill="auto"/>
            <w:vAlign w:val="center"/>
          </w:tcPr>
          <w:p w14:paraId="5193F4A0" w14:textId="77777777" w:rsidR="00ED6424" w:rsidRDefault="00420146">
            <w:pPr>
              <w:spacing w:line="360" w:lineRule="exact"/>
              <w:ind w:firstLineChars="200" w:firstLine="420"/>
              <w:rPr>
                <w:color w:val="000000" w:themeColor="text1"/>
              </w:rPr>
            </w:pPr>
            <w:r>
              <w:rPr>
                <w:rFonts w:hint="eastAsia"/>
                <w:color w:val="000000" w:themeColor="text1"/>
              </w:rPr>
              <w:t>按照项目培训安排的优劣进行比较评价：</w:t>
            </w:r>
          </w:p>
          <w:p w14:paraId="30732069" w14:textId="55F3143C" w:rsidR="00ED6424" w:rsidRDefault="00420146">
            <w:pPr>
              <w:spacing w:line="360" w:lineRule="exact"/>
              <w:ind w:firstLineChars="200" w:firstLine="420"/>
              <w:rPr>
                <w:color w:val="000000" w:themeColor="text1"/>
              </w:rPr>
            </w:pPr>
            <w:r>
              <w:rPr>
                <w:rFonts w:hint="eastAsia"/>
                <w:color w:val="000000" w:themeColor="text1"/>
              </w:rPr>
              <w:t>第一档：培训计划及培训内容安排合理可行，</w:t>
            </w:r>
            <w:r w:rsidR="00B44333">
              <w:rPr>
                <w:rFonts w:hint="eastAsia"/>
                <w:color w:val="000000" w:themeColor="text1"/>
              </w:rPr>
              <w:t>与博物院实际情况结合较强，具备针对性，</w:t>
            </w:r>
            <w:r>
              <w:rPr>
                <w:rFonts w:hint="eastAsia"/>
                <w:color w:val="000000" w:themeColor="text1"/>
              </w:rPr>
              <w:t>培训讲师为网络安全专家委员会专家</w:t>
            </w:r>
            <w:r w:rsidR="00386FCA">
              <w:rPr>
                <w:rFonts w:hint="eastAsia"/>
                <w:color w:val="000000" w:themeColor="text1"/>
              </w:rPr>
              <w:t>，</w:t>
            </w:r>
            <w:r>
              <w:rPr>
                <w:rFonts w:hint="eastAsia"/>
                <w:color w:val="000000" w:themeColor="text1"/>
              </w:rPr>
              <w:t>具备国家级重大活动网络安全保卫工作经验，并能够提供证明文件，得</w:t>
            </w:r>
            <w:r>
              <w:rPr>
                <w:rFonts w:hint="eastAsia"/>
                <w:color w:val="000000" w:themeColor="text1"/>
              </w:rPr>
              <w:t>10</w:t>
            </w:r>
            <w:r>
              <w:rPr>
                <w:rFonts w:hint="eastAsia"/>
                <w:color w:val="000000" w:themeColor="text1"/>
              </w:rPr>
              <w:t>分；</w:t>
            </w:r>
          </w:p>
          <w:p w14:paraId="3839AF79" w14:textId="7B859712" w:rsidR="00ED6424" w:rsidRDefault="00420146">
            <w:pPr>
              <w:spacing w:line="360" w:lineRule="exact"/>
              <w:ind w:firstLineChars="200" w:firstLine="420"/>
              <w:rPr>
                <w:color w:val="000000" w:themeColor="text1"/>
              </w:rPr>
            </w:pPr>
            <w:r>
              <w:rPr>
                <w:rFonts w:hint="eastAsia"/>
                <w:color w:val="000000" w:themeColor="text1"/>
              </w:rPr>
              <w:t>第二档：培训计划及培训内容安排</w:t>
            </w:r>
            <w:r w:rsidR="00C90944">
              <w:rPr>
                <w:rFonts w:hint="eastAsia"/>
                <w:color w:val="000000" w:themeColor="text1"/>
              </w:rPr>
              <w:t>基本</w:t>
            </w:r>
            <w:r>
              <w:rPr>
                <w:rFonts w:hint="eastAsia"/>
                <w:color w:val="000000" w:themeColor="text1"/>
              </w:rPr>
              <w:t>可行，</w:t>
            </w:r>
            <w:r w:rsidR="00B44333">
              <w:rPr>
                <w:rFonts w:hint="eastAsia"/>
                <w:color w:val="000000" w:themeColor="text1"/>
              </w:rPr>
              <w:t>具备</w:t>
            </w:r>
            <w:r w:rsidR="009772F3">
              <w:rPr>
                <w:rFonts w:hint="eastAsia"/>
                <w:color w:val="000000" w:themeColor="text1"/>
              </w:rPr>
              <w:t>广泛适用</w:t>
            </w:r>
            <w:r w:rsidR="00B44333">
              <w:rPr>
                <w:rFonts w:hint="eastAsia"/>
                <w:color w:val="000000" w:themeColor="text1"/>
              </w:rPr>
              <w:t>性但针对性不足，</w:t>
            </w:r>
            <w:r>
              <w:rPr>
                <w:rFonts w:hint="eastAsia"/>
                <w:color w:val="000000" w:themeColor="text1"/>
              </w:rPr>
              <w:t>培训讲师具备网络安全经验，培训方案有不足之处，得</w:t>
            </w:r>
            <w:r w:rsidR="00A91741">
              <w:rPr>
                <w:rFonts w:hint="eastAsia"/>
                <w:color w:val="000000" w:themeColor="text1"/>
              </w:rPr>
              <w:t>5</w:t>
            </w:r>
            <w:r>
              <w:rPr>
                <w:rFonts w:hint="eastAsia"/>
                <w:color w:val="000000" w:themeColor="text1"/>
              </w:rPr>
              <w:t>分；</w:t>
            </w:r>
          </w:p>
          <w:p w14:paraId="1803018D" w14:textId="5E828362" w:rsidR="00ED6424" w:rsidRDefault="00420146">
            <w:pPr>
              <w:spacing w:line="360" w:lineRule="exact"/>
              <w:ind w:firstLineChars="200" w:firstLine="420"/>
              <w:rPr>
                <w:color w:val="000000" w:themeColor="text1"/>
              </w:rPr>
            </w:pPr>
            <w:r>
              <w:rPr>
                <w:rFonts w:hint="eastAsia"/>
                <w:color w:val="000000" w:themeColor="text1"/>
              </w:rPr>
              <w:t>第三档：培训内容安排有缺陷，得</w:t>
            </w:r>
            <w:r w:rsidR="00A91741">
              <w:rPr>
                <w:rFonts w:hint="eastAsia"/>
                <w:color w:val="000000" w:themeColor="text1"/>
              </w:rPr>
              <w:t>1</w:t>
            </w:r>
            <w:r>
              <w:rPr>
                <w:rFonts w:hint="eastAsia"/>
                <w:color w:val="000000" w:themeColor="text1"/>
              </w:rPr>
              <w:t>分</w:t>
            </w:r>
            <w:r w:rsidR="000B3FAF">
              <w:rPr>
                <w:rFonts w:hint="eastAsia"/>
                <w:color w:val="000000" w:themeColor="text1"/>
              </w:rPr>
              <w:t>；</w:t>
            </w:r>
          </w:p>
          <w:p w14:paraId="34DD71C6" w14:textId="4FF73A37" w:rsidR="00B44333" w:rsidRDefault="00B44333">
            <w:pPr>
              <w:spacing w:line="360" w:lineRule="exact"/>
              <w:ind w:firstLineChars="200" w:firstLine="420"/>
              <w:rPr>
                <w:color w:val="000000" w:themeColor="text1"/>
              </w:rPr>
            </w:pPr>
            <w:r>
              <w:rPr>
                <w:rFonts w:hint="eastAsia"/>
                <w:color w:val="000000" w:themeColor="text1"/>
              </w:rPr>
              <w:t>缺项得</w:t>
            </w:r>
            <w:r>
              <w:rPr>
                <w:rFonts w:hint="eastAsia"/>
                <w:color w:val="000000" w:themeColor="text1"/>
              </w:rPr>
              <w:t>0</w:t>
            </w:r>
            <w:r>
              <w:rPr>
                <w:rFonts w:hint="eastAsia"/>
                <w:color w:val="000000" w:themeColor="text1"/>
              </w:rPr>
              <w:t>分</w:t>
            </w:r>
            <w:r w:rsidR="000B3FAF">
              <w:rPr>
                <w:rFonts w:hint="eastAsia"/>
                <w:color w:val="000000" w:themeColor="text1"/>
              </w:rPr>
              <w:t>。</w:t>
            </w:r>
          </w:p>
          <w:p w14:paraId="5EF5C854" w14:textId="648ACBDF" w:rsidR="00ED6424" w:rsidRDefault="00420146">
            <w:pPr>
              <w:spacing w:line="360" w:lineRule="exact"/>
              <w:ind w:firstLineChars="200" w:firstLine="422"/>
            </w:pPr>
            <w:r>
              <w:rPr>
                <w:rFonts w:hint="eastAsia"/>
                <w:b/>
                <w:bCs/>
                <w:color w:val="000000" w:themeColor="text1"/>
              </w:rPr>
              <w:t>注：</w:t>
            </w:r>
            <w:r w:rsidR="00D206F0">
              <w:rPr>
                <w:rFonts w:hint="eastAsia"/>
                <w:b/>
                <w:bCs/>
                <w:color w:val="000000" w:themeColor="text1"/>
              </w:rPr>
              <w:t>比选申请人</w:t>
            </w:r>
            <w:r>
              <w:rPr>
                <w:rFonts w:hint="eastAsia"/>
                <w:b/>
                <w:bCs/>
                <w:color w:val="000000" w:themeColor="text1"/>
              </w:rPr>
              <w:t>需提供</w:t>
            </w:r>
            <w:r w:rsidR="00802A78" w:rsidRPr="00802A78">
              <w:rPr>
                <w:rFonts w:hint="eastAsia"/>
                <w:b/>
                <w:bCs/>
                <w:color w:val="000000" w:themeColor="text1"/>
              </w:rPr>
              <w:t>近半年</w:t>
            </w:r>
            <w:r>
              <w:rPr>
                <w:rFonts w:hint="eastAsia"/>
                <w:b/>
                <w:bCs/>
                <w:color w:val="000000" w:themeColor="text1"/>
              </w:rPr>
              <w:t>专家社保证明，社保证明与</w:t>
            </w:r>
            <w:r w:rsidR="00D206F0">
              <w:rPr>
                <w:rFonts w:hint="eastAsia"/>
                <w:b/>
                <w:bCs/>
                <w:color w:val="000000" w:themeColor="text1"/>
              </w:rPr>
              <w:t>比选申请人单位</w:t>
            </w:r>
            <w:r>
              <w:rPr>
                <w:rFonts w:hint="eastAsia"/>
                <w:b/>
                <w:bCs/>
                <w:color w:val="000000" w:themeColor="text1"/>
              </w:rPr>
              <w:t>不一致的不得分。</w:t>
            </w:r>
          </w:p>
        </w:tc>
      </w:tr>
      <w:tr w:rsidR="00ED6424" w14:paraId="2AAC73E8" w14:textId="77777777">
        <w:trPr>
          <w:jc w:val="center"/>
        </w:trPr>
        <w:tc>
          <w:tcPr>
            <w:tcW w:w="1754" w:type="dxa"/>
            <w:vMerge/>
            <w:shd w:val="clear" w:color="auto" w:fill="auto"/>
            <w:vAlign w:val="center"/>
          </w:tcPr>
          <w:p w14:paraId="263B8845" w14:textId="77777777" w:rsidR="00ED6424" w:rsidRDefault="00ED6424">
            <w:pPr>
              <w:spacing w:line="360" w:lineRule="exact"/>
              <w:jc w:val="center"/>
            </w:pPr>
          </w:p>
        </w:tc>
        <w:tc>
          <w:tcPr>
            <w:tcW w:w="1690" w:type="dxa"/>
            <w:shd w:val="clear" w:color="auto" w:fill="auto"/>
            <w:vAlign w:val="center"/>
          </w:tcPr>
          <w:p w14:paraId="7AB22F8D" w14:textId="77777777" w:rsidR="00ED6424" w:rsidRDefault="00420146">
            <w:pPr>
              <w:spacing w:line="360" w:lineRule="exact"/>
              <w:jc w:val="center"/>
              <w:rPr>
                <w:color w:val="000000" w:themeColor="text1"/>
              </w:rPr>
            </w:pPr>
            <w:r>
              <w:rPr>
                <w:rFonts w:hint="eastAsia"/>
                <w:color w:val="000000" w:themeColor="text1"/>
              </w:rPr>
              <w:t>质量保证措施（</w:t>
            </w:r>
            <w:r>
              <w:rPr>
                <w:rFonts w:hint="eastAsia"/>
                <w:color w:val="000000" w:themeColor="text1"/>
              </w:rPr>
              <w:t>10</w:t>
            </w:r>
            <w:r>
              <w:rPr>
                <w:rFonts w:hint="eastAsia"/>
                <w:color w:val="000000" w:themeColor="text1"/>
              </w:rPr>
              <w:t>分）</w:t>
            </w:r>
          </w:p>
        </w:tc>
        <w:tc>
          <w:tcPr>
            <w:tcW w:w="6072" w:type="dxa"/>
            <w:shd w:val="clear" w:color="auto" w:fill="auto"/>
            <w:vAlign w:val="center"/>
          </w:tcPr>
          <w:p w14:paraId="2D51FF74" w14:textId="77777777" w:rsidR="00ED6424" w:rsidRDefault="00420146" w:rsidP="00760B28">
            <w:pPr>
              <w:spacing w:line="360" w:lineRule="exact"/>
              <w:ind w:firstLineChars="200" w:firstLine="420"/>
              <w:jc w:val="left"/>
              <w:rPr>
                <w:color w:val="000000" w:themeColor="text1"/>
              </w:rPr>
            </w:pPr>
            <w:r>
              <w:rPr>
                <w:rFonts w:hint="eastAsia"/>
                <w:color w:val="000000" w:themeColor="text1"/>
              </w:rPr>
              <w:t>质量保证措施编制科学合理，能保证信息系统的稳定和安全运行，完全优于项目的实际情况，安全评估完全符合项目要求，得</w:t>
            </w:r>
            <w:r>
              <w:rPr>
                <w:rFonts w:hint="eastAsia"/>
                <w:color w:val="000000" w:themeColor="text1"/>
              </w:rPr>
              <w:t>10</w:t>
            </w:r>
            <w:r>
              <w:rPr>
                <w:rFonts w:hint="eastAsia"/>
                <w:color w:val="000000" w:themeColor="text1"/>
              </w:rPr>
              <w:t>分；</w:t>
            </w:r>
          </w:p>
          <w:p w14:paraId="2D49677D" w14:textId="7B5CD183" w:rsidR="00ED6424" w:rsidRDefault="00420146" w:rsidP="00760B28">
            <w:pPr>
              <w:spacing w:line="360" w:lineRule="exact"/>
              <w:ind w:firstLineChars="200" w:firstLine="420"/>
              <w:jc w:val="left"/>
              <w:rPr>
                <w:color w:val="000000" w:themeColor="text1"/>
              </w:rPr>
            </w:pPr>
            <w:r>
              <w:rPr>
                <w:rFonts w:hint="eastAsia"/>
                <w:color w:val="000000" w:themeColor="text1"/>
              </w:rPr>
              <w:t>质量保证措施编制较合理，能基本保证信息系统的稳定和安全运行，安全评估基本符合项目要求，得</w:t>
            </w:r>
            <w:r w:rsidR="008960BC">
              <w:rPr>
                <w:rFonts w:hint="eastAsia"/>
                <w:color w:val="000000" w:themeColor="text1"/>
              </w:rPr>
              <w:t>5</w:t>
            </w:r>
            <w:r>
              <w:rPr>
                <w:rFonts w:hint="eastAsia"/>
                <w:color w:val="000000" w:themeColor="text1"/>
              </w:rPr>
              <w:t>分；</w:t>
            </w:r>
          </w:p>
          <w:p w14:paraId="15667D8D" w14:textId="29BDBCFC" w:rsidR="00ED6424" w:rsidRDefault="00420146" w:rsidP="00760B28">
            <w:pPr>
              <w:spacing w:line="360" w:lineRule="exact"/>
              <w:ind w:firstLineChars="200" w:firstLine="420"/>
              <w:jc w:val="left"/>
              <w:rPr>
                <w:color w:val="000000" w:themeColor="text1"/>
              </w:rPr>
            </w:pPr>
            <w:r>
              <w:rPr>
                <w:rFonts w:hint="eastAsia"/>
                <w:color w:val="000000" w:themeColor="text1"/>
              </w:rPr>
              <w:t>质量保证措施编制较差，得</w:t>
            </w:r>
            <w:r w:rsidR="008960BC">
              <w:rPr>
                <w:rFonts w:hint="eastAsia"/>
                <w:color w:val="000000" w:themeColor="text1"/>
              </w:rPr>
              <w:t>1</w:t>
            </w:r>
            <w:r>
              <w:rPr>
                <w:rFonts w:hint="eastAsia"/>
                <w:color w:val="000000" w:themeColor="text1"/>
              </w:rPr>
              <w:t>分</w:t>
            </w:r>
            <w:r w:rsidR="000B3FAF">
              <w:rPr>
                <w:rFonts w:hint="eastAsia"/>
                <w:color w:val="000000" w:themeColor="text1"/>
              </w:rPr>
              <w:t>；</w:t>
            </w:r>
          </w:p>
          <w:p w14:paraId="4876AAB5" w14:textId="7BB06E08" w:rsidR="00B44333" w:rsidRDefault="00B44333" w:rsidP="00760B28">
            <w:pPr>
              <w:spacing w:line="360" w:lineRule="exact"/>
              <w:ind w:firstLineChars="200" w:firstLine="420"/>
              <w:jc w:val="left"/>
              <w:rPr>
                <w:color w:val="000000" w:themeColor="text1"/>
              </w:rPr>
            </w:pPr>
            <w:r>
              <w:rPr>
                <w:rFonts w:hint="eastAsia"/>
                <w:color w:val="000000" w:themeColor="text1"/>
              </w:rPr>
              <w:t>缺项得</w:t>
            </w:r>
            <w:r>
              <w:rPr>
                <w:rFonts w:hint="eastAsia"/>
                <w:color w:val="000000" w:themeColor="text1"/>
              </w:rPr>
              <w:t>0</w:t>
            </w:r>
            <w:r>
              <w:rPr>
                <w:rFonts w:hint="eastAsia"/>
                <w:color w:val="000000" w:themeColor="text1"/>
              </w:rPr>
              <w:t>分。</w:t>
            </w:r>
          </w:p>
        </w:tc>
      </w:tr>
    </w:tbl>
    <w:p w14:paraId="3E040B6A" w14:textId="77777777" w:rsidR="00ED6424" w:rsidRDefault="00ED6424"/>
    <w:sectPr w:rsidR="00ED6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75A0" w14:textId="77777777" w:rsidR="002A2E07" w:rsidRDefault="002A2E07" w:rsidP="00D22DE2">
      <w:r>
        <w:separator/>
      </w:r>
    </w:p>
  </w:endnote>
  <w:endnote w:type="continuationSeparator" w:id="0">
    <w:p w14:paraId="0186AF56" w14:textId="77777777" w:rsidR="002A2E07" w:rsidRDefault="002A2E07" w:rsidP="00D2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FEA3" w14:textId="77777777" w:rsidR="002A2E07" w:rsidRDefault="002A2E07" w:rsidP="00D22DE2">
      <w:r>
        <w:separator/>
      </w:r>
    </w:p>
  </w:footnote>
  <w:footnote w:type="continuationSeparator" w:id="0">
    <w:p w14:paraId="2C433BBE" w14:textId="77777777" w:rsidR="002A2E07" w:rsidRDefault="002A2E07" w:rsidP="00D22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jMzdiNzA3OTVlZjVmOGEyYzFjYTY3NTNkMWE1ODkifQ=="/>
    <w:docVar w:name="KGWebUrl" w:val="http://27.128.164.61:8099/seeyon/officeservlet"/>
  </w:docVars>
  <w:rsids>
    <w:rsidRoot w:val="739F710D"/>
    <w:rsid w:val="000B3FAF"/>
    <w:rsid w:val="000B5265"/>
    <w:rsid w:val="001013B0"/>
    <w:rsid w:val="00107564"/>
    <w:rsid w:val="001433B9"/>
    <w:rsid w:val="002A2E07"/>
    <w:rsid w:val="00386FCA"/>
    <w:rsid w:val="00420146"/>
    <w:rsid w:val="00542B30"/>
    <w:rsid w:val="00622DAB"/>
    <w:rsid w:val="00760B28"/>
    <w:rsid w:val="007B1B85"/>
    <w:rsid w:val="007B769A"/>
    <w:rsid w:val="007E192E"/>
    <w:rsid w:val="00801783"/>
    <w:rsid w:val="00802A78"/>
    <w:rsid w:val="008960BC"/>
    <w:rsid w:val="008A0930"/>
    <w:rsid w:val="009772F3"/>
    <w:rsid w:val="009966AE"/>
    <w:rsid w:val="00A91741"/>
    <w:rsid w:val="00B44333"/>
    <w:rsid w:val="00B53288"/>
    <w:rsid w:val="00C90944"/>
    <w:rsid w:val="00D206F0"/>
    <w:rsid w:val="00D22DE2"/>
    <w:rsid w:val="00D46271"/>
    <w:rsid w:val="00E23B64"/>
    <w:rsid w:val="00ED6424"/>
    <w:rsid w:val="03255C03"/>
    <w:rsid w:val="19AC18CD"/>
    <w:rsid w:val="1D632810"/>
    <w:rsid w:val="2091237A"/>
    <w:rsid w:val="325D6915"/>
    <w:rsid w:val="34EB017C"/>
    <w:rsid w:val="525F007F"/>
    <w:rsid w:val="5A046627"/>
    <w:rsid w:val="60542470"/>
    <w:rsid w:val="69D51E54"/>
    <w:rsid w:val="6E391035"/>
    <w:rsid w:val="739F710D"/>
    <w:rsid w:val="73D6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AFAB5"/>
  <w15:docId w15:val="{39BE7A58-9352-47A7-AB24-99EBC768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Indent"/>
    <w:basedOn w:val="a"/>
    <w:next w:val="a5"/>
    <w:qFormat/>
    <w:pPr>
      <w:ind w:firstLineChars="200" w:firstLine="482"/>
    </w:pPr>
    <w:rPr>
      <w:b/>
      <w:bCs/>
      <w:sz w:val="24"/>
    </w:rPr>
  </w:style>
  <w:style w:type="paragraph" w:styleId="a5">
    <w:name w:val="envelope return"/>
    <w:basedOn w:val="a"/>
    <w:next w:val="a"/>
    <w:qFormat/>
    <w:pPr>
      <w:snapToGrid w:val="0"/>
    </w:pPr>
    <w:rPr>
      <w:rFonts w:ascii="Arial" w:hAnsi="Arial"/>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tabs>
        <w:tab w:val="center" w:pos="4153"/>
        <w:tab w:val="right" w:pos="8306"/>
      </w:tabs>
      <w:snapToGrid w:val="0"/>
      <w:jc w:val="center"/>
    </w:pPr>
    <w:rPr>
      <w:sz w:val="18"/>
      <w:szCs w:val="18"/>
    </w:rPr>
  </w:style>
  <w:style w:type="paragraph" w:styleId="2">
    <w:name w:val="Body Text First Indent 2"/>
    <w:basedOn w:val="a4"/>
    <w:next w:val="a"/>
    <w:qFormat/>
    <w:pPr>
      <w:tabs>
        <w:tab w:val="left" w:pos="5580"/>
      </w:tabs>
      <w:spacing w:after="120"/>
      <w:ind w:leftChars="200" w:left="420" w:firstLine="420"/>
    </w:pPr>
  </w:style>
  <w:style w:type="paragraph" w:customStyle="1" w:styleId="TableParagraph">
    <w:name w:val="Table Paragraph"/>
    <w:basedOn w:val="a"/>
    <w:uiPriority w:val="1"/>
    <w:qFormat/>
    <w:rPr>
      <w:rFonts w:ascii="宋体" w:hAnsi="宋体" w:cs="宋体"/>
      <w:lang w:val="zh-CN" w:bidi="zh-CN"/>
    </w:rPr>
  </w:style>
  <w:style w:type="character" w:customStyle="1" w:styleId="a9">
    <w:name w:val="页眉 字符"/>
    <w:basedOn w:val="a0"/>
    <w:link w:val="a8"/>
    <w:qFormat/>
    <w:rPr>
      <w:rFonts w:ascii="Times New Roman" w:eastAsia="宋体" w:hAnsi="Times New Roman" w:cs="Times New Roman"/>
      <w:kern w:val="2"/>
      <w:sz w:val="18"/>
      <w:szCs w:val="18"/>
    </w:rPr>
  </w:style>
  <w:style w:type="character" w:customStyle="1" w:styleId="a7">
    <w:name w:val="页脚 字符"/>
    <w:basedOn w:val="a0"/>
    <w:link w:val="a6"/>
    <w:rPr>
      <w:rFonts w:ascii="Times New Roman" w:eastAsia="宋体" w:hAnsi="Times New Roman" w:cs="Times New Roman"/>
      <w:kern w:val="2"/>
      <w:sz w:val="18"/>
      <w:szCs w:val="18"/>
    </w:r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213</Words>
  <Characters>1217</Characters>
  <Application>Microsoft Office Word</Application>
  <DocSecurity>0</DocSecurity>
  <Lines>10</Lines>
  <Paragraphs>2</Paragraphs>
  <ScaleCrop>false</ScaleCrop>
  <Company>博物院</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陈旭</dc:creator>
  <cp:lastModifiedBy>Better Man</cp:lastModifiedBy>
  <cp:revision>15</cp:revision>
  <cp:lastPrinted>2025-05-13T09:56:00Z</cp:lastPrinted>
  <dcterms:created xsi:type="dcterms:W3CDTF">2025-05-13T05:04:00Z</dcterms:created>
  <dcterms:modified xsi:type="dcterms:W3CDTF">2025-05-13T10:31:00Z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922A17D5484B4819A278C1F3CCE1468E_13</vt:lpwstr>
  </property>
  <property fmtid="{D5CDD505-2E9C-101B-9397-08002B2CF9AE}" pid="4" name="_KSOProductBuildMID">
    <vt:lpwstr>CKWMR6GD7RRQ0VHGRKR8ML0J7ZQ0OSGREX0XFJDWXFM8TQWTZ0BR6CJ6FYRHPB8RXFM6EOLIZHJD8PNJQXFTVFFA8RN0WMLBASODPHB30836A9279D0BBB6752D08DDB747C5456</vt:lpwstr>
  </property>
  <property fmtid="{D5CDD505-2E9C-101B-9397-08002B2CF9AE}" pid="5" name="_KSOProductBuildSID">
    <vt:lpwstr>2582FF92D671484C9B9CC37EBBE1D7C5</vt:lpwstr>
  </property>
  <property fmtid="{D5CDD505-2E9C-101B-9397-08002B2CF9AE}" pid="6" name="KSOTemplateDocerSaveRecord">
    <vt:lpwstr>eyJoZGlkIjoiZmE1NjhmYzdlOTYxNTlmYjVlNTE2NWFjMzc4YWFkOGQiLCJ1c2VySWQiOiI2NDA3NDc1MTkifQ==</vt:lpwstr>
  </property>
</Properties>
</file>