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86969">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highlight w:val="none"/>
        </w:rPr>
        <w:t>河北博物院</w:t>
      </w:r>
      <w:r>
        <w:rPr>
          <w:rFonts w:hint="eastAsia" w:ascii="方正小标宋简体" w:hAnsi="方正小标宋简体" w:eastAsia="方正小标宋简体" w:cs="方正小标宋简体"/>
          <w:sz w:val="32"/>
          <w:szCs w:val="32"/>
          <w:highlight w:val="none"/>
          <w:lang w:val="en-US" w:eastAsia="zh-CN"/>
        </w:rPr>
        <w:t>2025年河博之旅</w:t>
      </w:r>
      <w:r>
        <w:rPr>
          <w:rFonts w:hint="eastAsia" w:ascii="方正小标宋简体" w:hAnsi="方正小标宋简体" w:eastAsia="方正小标宋简体" w:cs="方正小标宋简体"/>
          <w:sz w:val="32"/>
          <w:szCs w:val="32"/>
        </w:rPr>
        <w:t>项目评审标准</w:t>
      </w:r>
    </w:p>
    <w:tbl>
      <w:tblPr>
        <w:tblStyle w:val="7"/>
        <w:tblpPr w:leftFromText="180" w:rightFromText="180" w:vertAnchor="text" w:horzAnchor="page" w:tblpX="1470" w:tblpY="416"/>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103"/>
        <w:gridCol w:w="6280"/>
      </w:tblGrid>
      <w:tr w14:paraId="5FCF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1655" w:type="dxa"/>
            <w:noWrap w:val="0"/>
            <w:vAlign w:val="center"/>
          </w:tcPr>
          <w:p w14:paraId="60FA9C42">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Cs w:val="24"/>
              </w:rPr>
              <w:t>评审项目</w:t>
            </w:r>
          </w:p>
        </w:tc>
        <w:tc>
          <w:tcPr>
            <w:tcW w:w="1103" w:type="dxa"/>
            <w:noWrap w:val="0"/>
            <w:vAlign w:val="center"/>
          </w:tcPr>
          <w:p w14:paraId="5081FBDF">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pacing w:val="-8"/>
                <w:szCs w:val="24"/>
              </w:rPr>
            </w:pPr>
            <w:r>
              <w:rPr>
                <w:rFonts w:hint="eastAsia" w:ascii="宋体" w:hAnsi="宋体"/>
                <w:b/>
                <w:color w:val="auto"/>
                <w:spacing w:val="-8"/>
                <w:szCs w:val="24"/>
              </w:rPr>
              <w:t>标准分</w:t>
            </w:r>
          </w:p>
        </w:tc>
        <w:tc>
          <w:tcPr>
            <w:tcW w:w="6280" w:type="dxa"/>
            <w:noWrap w:val="0"/>
            <w:vAlign w:val="center"/>
          </w:tcPr>
          <w:p w14:paraId="17E0AA4C">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Cs w:val="24"/>
              </w:rPr>
              <w:t>评分标准</w:t>
            </w:r>
          </w:p>
        </w:tc>
      </w:tr>
      <w:tr w14:paraId="4936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55" w:type="dxa"/>
            <w:noWrap w:val="0"/>
            <w:vAlign w:val="center"/>
          </w:tcPr>
          <w:p w14:paraId="10C8A101">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 w:val="22"/>
                <w:szCs w:val="22"/>
              </w:rPr>
              <w:t>报价</w:t>
            </w:r>
          </w:p>
        </w:tc>
        <w:tc>
          <w:tcPr>
            <w:tcW w:w="1103" w:type="dxa"/>
            <w:noWrap w:val="0"/>
            <w:vAlign w:val="center"/>
          </w:tcPr>
          <w:p w14:paraId="3E16834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default" w:ascii="宋体" w:hAnsi="宋体"/>
                <w:b/>
                <w:color w:val="auto"/>
                <w:szCs w:val="24"/>
                <w:lang w:val="en-US"/>
              </w:rPr>
            </w:pPr>
            <w:r>
              <w:rPr>
                <w:rFonts w:hint="eastAsia" w:ascii="宋体" w:hAnsi="宋体"/>
                <w:b/>
                <w:color w:val="auto"/>
                <w:sz w:val="22"/>
                <w:szCs w:val="22"/>
                <w:lang w:val="en-US" w:eastAsia="zh-CN"/>
              </w:rPr>
              <w:t>20</w:t>
            </w:r>
          </w:p>
        </w:tc>
        <w:tc>
          <w:tcPr>
            <w:tcW w:w="6280" w:type="dxa"/>
            <w:noWrap w:val="0"/>
            <w:vAlign w:val="top"/>
          </w:tcPr>
          <w:p w14:paraId="7AA25B11">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default"/>
                <w:color w:val="auto"/>
                <w:sz w:val="21"/>
                <w:szCs w:val="21"/>
                <w:lang w:val="en-US"/>
              </w:rPr>
            </w:pPr>
            <w:r>
              <w:rPr>
                <w:rFonts w:hint="eastAsia" w:ascii="宋体" w:hAnsi="宋体"/>
                <w:color w:val="auto"/>
                <w:sz w:val="21"/>
                <w:szCs w:val="21"/>
              </w:rPr>
              <w:t>投标人报价得分＝（有效最低投标报价／该投标人报价）×</w:t>
            </w:r>
            <w:r>
              <w:rPr>
                <w:rFonts w:hint="eastAsia" w:ascii="宋体" w:hAnsi="宋体"/>
                <w:color w:val="auto"/>
                <w:sz w:val="21"/>
                <w:szCs w:val="21"/>
                <w:lang w:val="en-US" w:eastAsia="zh-CN"/>
              </w:rPr>
              <w:t>20（保留1位小数点，第2位四舍五入，下同）</w:t>
            </w:r>
          </w:p>
        </w:tc>
      </w:tr>
      <w:tr w14:paraId="5957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55" w:type="dxa"/>
            <w:noWrap w:val="0"/>
            <w:vAlign w:val="center"/>
          </w:tcPr>
          <w:p w14:paraId="68003F20">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eastAsia" w:ascii="宋体" w:hAnsi="宋体"/>
                <w:b/>
                <w:color w:val="auto"/>
                <w:szCs w:val="24"/>
              </w:rPr>
            </w:pPr>
            <w:r>
              <w:rPr>
                <w:rFonts w:hint="eastAsia" w:ascii="宋体" w:hAnsi="宋体"/>
                <w:b/>
                <w:color w:val="auto"/>
                <w:sz w:val="22"/>
                <w:szCs w:val="22"/>
              </w:rPr>
              <w:t>同类业绩</w:t>
            </w:r>
          </w:p>
        </w:tc>
        <w:tc>
          <w:tcPr>
            <w:tcW w:w="1103" w:type="dxa"/>
            <w:noWrap w:val="0"/>
            <w:vAlign w:val="center"/>
          </w:tcPr>
          <w:p w14:paraId="2D5DB602">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default" w:ascii="宋体" w:hAnsi="宋体" w:eastAsia="宋体" w:cs="Times New Roman"/>
                <w:b/>
                <w:color w:val="auto"/>
                <w:szCs w:val="24"/>
                <w:lang w:val="en-US" w:eastAsia="zh-CN"/>
              </w:rPr>
            </w:pPr>
            <w:r>
              <w:rPr>
                <w:rFonts w:hint="eastAsia" w:ascii="宋体" w:hAnsi="宋体"/>
                <w:b/>
                <w:color w:val="auto"/>
                <w:sz w:val="22"/>
                <w:szCs w:val="22"/>
                <w:lang w:val="en-US" w:eastAsia="zh-CN"/>
              </w:rPr>
              <w:t>10</w:t>
            </w:r>
          </w:p>
        </w:tc>
        <w:tc>
          <w:tcPr>
            <w:tcW w:w="6280" w:type="dxa"/>
            <w:noWrap w:val="0"/>
            <w:vAlign w:val="top"/>
          </w:tcPr>
          <w:p w14:paraId="0D3064D6">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lang w:val="en-US" w:eastAsia="zh-CN"/>
              </w:rPr>
              <w:t>供应商提供近两年内同类项目的合同扫描件。每提交1个得2分，此项最高得10分。</w:t>
            </w:r>
          </w:p>
        </w:tc>
      </w:tr>
      <w:tr w14:paraId="1D18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655" w:type="dxa"/>
            <w:noWrap w:val="0"/>
            <w:vAlign w:val="center"/>
          </w:tcPr>
          <w:p w14:paraId="675C6D9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b/>
                <w:color w:val="auto"/>
                <w:sz w:val="22"/>
                <w:szCs w:val="22"/>
                <w:lang w:eastAsia="zh-CN"/>
              </w:rPr>
            </w:pPr>
            <w:r>
              <w:rPr>
                <w:rFonts w:hint="eastAsia" w:ascii="宋体" w:hAnsi="宋体"/>
                <w:b/>
                <w:color w:val="auto"/>
                <w:sz w:val="22"/>
                <w:szCs w:val="22"/>
                <w:lang w:eastAsia="zh-CN"/>
              </w:rPr>
              <w:t>安全保障</w:t>
            </w:r>
          </w:p>
        </w:tc>
        <w:tc>
          <w:tcPr>
            <w:tcW w:w="1103" w:type="dxa"/>
            <w:noWrap w:val="0"/>
            <w:vAlign w:val="center"/>
          </w:tcPr>
          <w:p w14:paraId="3BA4DB9D">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 w:val="22"/>
                <w:szCs w:val="22"/>
                <w:lang w:val="en-US" w:eastAsia="zh-CN"/>
              </w:rPr>
            </w:pPr>
            <w:r>
              <w:rPr>
                <w:rFonts w:hint="eastAsia" w:ascii="宋体" w:hAnsi="宋体"/>
                <w:b/>
                <w:color w:val="auto"/>
                <w:sz w:val="22"/>
                <w:szCs w:val="22"/>
                <w:lang w:val="en-US" w:eastAsia="zh-CN"/>
              </w:rPr>
              <w:t>20</w:t>
            </w:r>
          </w:p>
        </w:tc>
        <w:tc>
          <w:tcPr>
            <w:tcW w:w="6280" w:type="dxa"/>
            <w:noWrap w:val="0"/>
            <w:vAlign w:val="top"/>
          </w:tcPr>
          <w:p w14:paraId="57CBBB6A">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eastAsia="zh-CN"/>
              </w:rPr>
            </w:pPr>
            <w:r>
              <w:rPr>
                <w:rFonts w:hint="eastAsia" w:ascii="宋体" w:hAnsi="宋体"/>
                <w:color w:val="auto"/>
                <w:sz w:val="21"/>
                <w:szCs w:val="21"/>
                <w:lang w:eastAsia="zh-CN"/>
              </w:rPr>
              <w:t>对供应商的安全保障体系进行综合比较评价：</w:t>
            </w:r>
          </w:p>
          <w:p w14:paraId="142BFAFB">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rPr>
            </w:pPr>
            <w:r>
              <w:rPr>
                <w:rFonts w:hint="eastAsia" w:ascii="宋体" w:hAnsi="宋体"/>
                <w:color w:val="auto"/>
                <w:sz w:val="21"/>
                <w:szCs w:val="21"/>
                <w:lang w:eastAsia="zh-CN"/>
              </w:rPr>
              <w:t>第一档</w:t>
            </w:r>
            <w:r>
              <w:rPr>
                <w:rFonts w:hint="eastAsia" w:ascii="宋体" w:hAnsi="宋体"/>
                <w:color w:val="auto"/>
                <w:sz w:val="21"/>
                <w:szCs w:val="21"/>
              </w:rPr>
              <w:t>：项目安全保障体系设计科学且有创新，保障措施完善有力</w:t>
            </w:r>
            <w:r>
              <w:rPr>
                <w:rFonts w:hint="eastAsia" w:ascii="宋体" w:hAnsi="宋体"/>
                <w:color w:val="auto"/>
                <w:sz w:val="21"/>
                <w:szCs w:val="21"/>
                <w:lang w:eastAsia="zh-CN"/>
              </w:rPr>
              <w:t>，完全满足项目</w:t>
            </w:r>
            <w:r>
              <w:rPr>
                <w:rFonts w:hint="eastAsia" w:ascii="宋体" w:hAnsi="宋体"/>
                <w:color w:val="auto"/>
                <w:sz w:val="21"/>
                <w:szCs w:val="21"/>
              </w:rPr>
              <w:t>安全需求，得20分。​</w:t>
            </w:r>
          </w:p>
          <w:p w14:paraId="226BF9B2">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rPr>
            </w:pPr>
            <w:r>
              <w:rPr>
                <w:rFonts w:hint="eastAsia" w:ascii="宋体" w:hAnsi="宋体"/>
                <w:color w:val="auto"/>
                <w:sz w:val="21"/>
                <w:szCs w:val="21"/>
                <w:lang w:eastAsia="zh-CN"/>
              </w:rPr>
              <w:t>第二档</w:t>
            </w:r>
            <w:r>
              <w:rPr>
                <w:rFonts w:hint="eastAsia" w:ascii="宋体" w:hAnsi="宋体"/>
                <w:color w:val="auto"/>
                <w:sz w:val="21"/>
                <w:szCs w:val="21"/>
              </w:rPr>
              <w:t>：项目安全保障体系设计科学、保障措施</w:t>
            </w:r>
            <w:r>
              <w:rPr>
                <w:rFonts w:hint="eastAsia" w:ascii="宋体" w:hAnsi="宋体"/>
                <w:color w:val="auto"/>
                <w:sz w:val="21"/>
                <w:szCs w:val="21"/>
                <w:lang w:eastAsia="zh-CN"/>
              </w:rPr>
              <w:t>可行</w:t>
            </w:r>
            <w:r>
              <w:rPr>
                <w:rFonts w:hint="eastAsia" w:ascii="宋体" w:hAnsi="宋体"/>
                <w:color w:val="auto"/>
                <w:sz w:val="21"/>
                <w:szCs w:val="21"/>
              </w:rPr>
              <w:t>，</w:t>
            </w:r>
            <w:r>
              <w:rPr>
                <w:rFonts w:hint="eastAsia" w:ascii="宋体" w:hAnsi="宋体"/>
                <w:color w:val="auto"/>
                <w:sz w:val="21"/>
                <w:szCs w:val="21"/>
                <w:lang w:eastAsia="zh-CN"/>
              </w:rPr>
              <w:t>基本满足项</w:t>
            </w:r>
            <w:r>
              <w:rPr>
                <w:rFonts w:hint="eastAsia" w:ascii="宋体" w:hAnsi="宋体"/>
                <w:color w:val="auto"/>
                <w:sz w:val="21"/>
                <w:szCs w:val="21"/>
              </w:rPr>
              <w:t>目安全需求，得15分。​</w:t>
            </w:r>
          </w:p>
          <w:p w14:paraId="7DB1EB9A">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rPr>
            </w:pPr>
            <w:r>
              <w:rPr>
                <w:rFonts w:hint="eastAsia" w:ascii="宋体" w:hAnsi="宋体"/>
                <w:color w:val="auto"/>
                <w:sz w:val="21"/>
                <w:szCs w:val="21"/>
                <w:lang w:eastAsia="zh-CN"/>
              </w:rPr>
              <w:t>第三档</w:t>
            </w:r>
            <w:r>
              <w:rPr>
                <w:rFonts w:hint="eastAsia" w:ascii="宋体" w:hAnsi="宋体"/>
                <w:color w:val="auto"/>
                <w:sz w:val="21"/>
                <w:szCs w:val="21"/>
              </w:rPr>
              <w:t>：项目安全保障体系设计存在缺陷，保障措施不够完善有力，不能完全满足项目安全需求，得10分。</w:t>
            </w:r>
          </w:p>
          <w:p w14:paraId="6AD187E3">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default" w:eastAsia="仿宋_GB2312"/>
                <w:sz w:val="21"/>
                <w:szCs w:val="21"/>
                <w:lang w:val="en-US" w:eastAsia="zh-CN"/>
              </w:rPr>
            </w:pPr>
            <w:r>
              <w:rPr>
                <w:rFonts w:hint="eastAsia" w:ascii="宋体" w:hAnsi="宋体"/>
                <w:color w:val="auto"/>
                <w:sz w:val="21"/>
                <w:szCs w:val="21"/>
                <w:lang w:val="en-US" w:eastAsia="zh-CN"/>
              </w:rPr>
              <w:t>第四档：无项目安全保障体系，得0分。</w:t>
            </w:r>
          </w:p>
        </w:tc>
      </w:tr>
      <w:tr w14:paraId="5E3B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655" w:type="dxa"/>
            <w:noWrap w:val="0"/>
            <w:vAlign w:val="center"/>
          </w:tcPr>
          <w:p w14:paraId="438E9136">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b/>
                <w:color w:val="auto"/>
                <w:szCs w:val="24"/>
              </w:rPr>
            </w:pPr>
            <w:r>
              <w:rPr>
                <w:rFonts w:hint="eastAsia" w:ascii="宋体" w:hAnsi="宋体"/>
                <w:b/>
                <w:color w:val="auto"/>
                <w:sz w:val="22"/>
                <w:szCs w:val="22"/>
                <w:lang w:eastAsia="zh-CN"/>
              </w:rPr>
              <w:t>应急预案</w:t>
            </w:r>
          </w:p>
        </w:tc>
        <w:tc>
          <w:tcPr>
            <w:tcW w:w="1103" w:type="dxa"/>
            <w:noWrap w:val="0"/>
            <w:vAlign w:val="center"/>
          </w:tcPr>
          <w:p w14:paraId="765688EC">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eastAsia="宋体"/>
                <w:b/>
                <w:color w:val="auto"/>
                <w:szCs w:val="24"/>
                <w:lang w:val="en-US" w:eastAsia="zh-CN"/>
              </w:rPr>
            </w:pPr>
            <w:r>
              <w:rPr>
                <w:rFonts w:hint="eastAsia" w:ascii="宋体" w:hAnsi="宋体"/>
                <w:b/>
                <w:color w:val="auto"/>
                <w:sz w:val="22"/>
                <w:szCs w:val="22"/>
                <w:lang w:val="en-US" w:eastAsia="zh-CN"/>
              </w:rPr>
              <w:t>15</w:t>
            </w:r>
          </w:p>
        </w:tc>
        <w:tc>
          <w:tcPr>
            <w:tcW w:w="6280" w:type="dxa"/>
            <w:noWrap w:val="0"/>
            <w:vAlign w:val="top"/>
          </w:tcPr>
          <w:p w14:paraId="2F330F6B">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rPr>
              <w:t>根据</w:t>
            </w:r>
            <w:r>
              <w:rPr>
                <w:rFonts w:hint="eastAsia" w:ascii="宋体" w:hAnsi="宋体"/>
                <w:color w:val="auto"/>
                <w:sz w:val="21"/>
                <w:szCs w:val="21"/>
                <w:lang w:eastAsia="zh-CN"/>
              </w:rPr>
              <w:t>供应商提供的风险应急预案进行评价</w:t>
            </w:r>
            <w:r>
              <w:rPr>
                <w:rFonts w:hint="eastAsia" w:ascii="宋体" w:hAnsi="宋体"/>
                <w:color w:val="auto"/>
                <w:sz w:val="21"/>
                <w:szCs w:val="21"/>
              </w:rPr>
              <w:t>：</w:t>
            </w:r>
          </w:p>
          <w:p w14:paraId="7B3F3AEC">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eastAsia="zh-CN"/>
              </w:rPr>
            </w:pPr>
            <w:r>
              <w:rPr>
                <w:rFonts w:hint="eastAsia" w:ascii="宋体" w:hAnsi="宋体"/>
                <w:color w:val="auto"/>
                <w:sz w:val="21"/>
                <w:szCs w:val="21"/>
                <w:lang w:eastAsia="zh-CN"/>
              </w:rPr>
              <w:t>第一档：项目风险应急预案安排科学且具有前瞻性，风险防范处置措施完善有力且能有效应对各类潜在风险，得15分。​</w:t>
            </w:r>
          </w:p>
          <w:p w14:paraId="12E7DFFC">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eastAsia="zh-CN"/>
              </w:rPr>
            </w:pPr>
            <w:r>
              <w:rPr>
                <w:rFonts w:hint="eastAsia" w:ascii="宋体" w:hAnsi="宋体"/>
                <w:color w:val="auto"/>
                <w:sz w:val="21"/>
                <w:szCs w:val="21"/>
                <w:lang w:eastAsia="zh-CN"/>
              </w:rPr>
              <w:t>第二档：项目风险应急预案安排科学、风险防范处置措施可行，基本能够应对项目预期风险，得10分。​</w:t>
            </w:r>
          </w:p>
          <w:p w14:paraId="63DADA82">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eastAsia="zh-CN"/>
              </w:rPr>
            </w:pPr>
            <w:r>
              <w:rPr>
                <w:rFonts w:hint="eastAsia" w:ascii="宋体" w:hAnsi="宋体"/>
                <w:color w:val="auto"/>
                <w:sz w:val="21"/>
                <w:szCs w:val="21"/>
                <w:lang w:eastAsia="zh-CN"/>
              </w:rPr>
              <w:t>第三档：项目风险应急预案安排存在不足，风险防范处置措施不可行，应对项目风险的能力较弱，得5分。</w:t>
            </w:r>
          </w:p>
          <w:p w14:paraId="5FA35D4E">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default" w:eastAsia="仿宋_GB2312"/>
                <w:sz w:val="21"/>
                <w:szCs w:val="21"/>
                <w:lang w:val="en-US" w:eastAsia="zh-CN"/>
              </w:rPr>
            </w:pPr>
            <w:r>
              <w:rPr>
                <w:rFonts w:hint="eastAsia" w:ascii="宋体" w:hAnsi="宋体"/>
                <w:color w:val="auto"/>
                <w:sz w:val="21"/>
                <w:szCs w:val="21"/>
                <w:lang w:eastAsia="zh-CN"/>
              </w:rPr>
              <w:t>第四档：无项目应急预案，得</w:t>
            </w:r>
            <w:r>
              <w:rPr>
                <w:rFonts w:hint="eastAsia" w:ascii="宋体" w:hAnsi="宋体"/>
                <w:color w:val="auto"/>
                <w:sz w:val="21"/>
                <w:szCs w:val="21"/>
                <w:lang w:val="en-US" w:eastAsia="zh-CN"/>
              </w:rPr>
              <w:t>0分。</w:t>
            </w:r>
          </w:p>
        </w:tc>
      </w:tr>
      <w:tr w14:paraId="5557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655" w:type="dxa"/>
            <w:noWrap w:val="0"/>
            <w:vAlign w:val="center"/>
          </w:tcPr>
          <w:p w14:paraId="1ED6A7A6">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Times New Roman"/>
                <w:b/>
                <w:color w:val="auto"/>
                <w:kern w:val="2"/>
                <w:sz w:val="21"/>
                <w:szCs w:val="24"/>
                <w:lang w:val="en-US" w:eastAsia="zh-CN" w:bidi="ar-SA"/>
              </w:rPr>
            </w:pPr>
            <w:r>
              <w:rPr>
                <w:rFonts w:hint="eastAsia" w:ascii="宋体" w:hAnsi="宋体"/>
                <w:b/>
                <w:color w:val="auto"/>
                <w:sz w:val="22"/>
                <w:szCs w:val="22"/>
                <w:lang w:eastAsia="zh-CN"/>
              </w:rPr>
              <w:t>活动方案</w:t>
            </w:r>
          </w:p>
        </w:tc>
        <w:tc>
          <w:tcPr>
            <w:tcW w:w="1103" w:type="dxa"/>
            <w:noWrap w:val="0"/>
            <w:vAlign w:val="center"/>
          </w:tcPr>
          <w:p w14:paraId="4858D998">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eastAsia="宋体" w:cs="Times New Roman"/>
                <w:b/>
                <w:color w:val="auto"/>
                <w:kern w:val="2"/>
                <w:sz w:val="21"/>
                <w:szCs w:val="24"/>
                <w:lang w:val="en-US" w:eastAsia="zh-CN" w:bidi="ar-SA"/>
              </w:rPr>
            </w:pPr>
            <w:r>
              <w:rPr>
                <w:rFonts w:hint="eastAsia" w:ascii="宋体" w:hAnsi="宋体"/>
                <w:b/>
                <w:color w:val="auto"/>
                <w:sz w:val="22"/>
                <w:szCs w:val="22"/>
                <w:lang w:val="en-US" w:eastAsia="zh-CN"/>
              </w:rPr>
              <w:t>20</w:t>
            </w:r>
          </w:p>
        </w:tc>
        <w:tc>
          <w:tcPr>
            <w:tcW w:w="6280" w:type="dxa"/>
            <w:noWrap w:val="0"/>
            <w:vAlign w:val="top"/>
          </w:tcPr>
          <w:p w14:paraId="67967F70">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rPr>
              <w:t>根据</w:t>
            </w:r>
            <w:r>
              <w:rPr>
                <w:rFonts w:hint="eastAsia" w:ascii="宋体" w:hAnsi="宋体"/>
                <w:color w:val="auto"/>
                <w:sz w:val="21"/>
                <w:szCs w:val="21"/>
                <w:lang w:eastAsia="zh-CN"/>
              </w:rPr>
              <w:t>供应商提供的项目活动方案进行评价</w:t>
            </w:r>
            <w:r>
              <w:rPr>
                <w:rFonts w:hint="eastAsia" w:ascii="宋体" w:hAnsi="宋体"/>
                <w:color w:val="auto"/>
                <w:sz w:val="21"/>
                <w:szCs w:val="21"/>
              </w:rPr>
              <w:t>：</w:t>
            </w:r>
          </w:p>
          <w:p w14:paraId="59F43973">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第一档：项目活动方案设计合理、安排科学，且在活动形式、内容安排等方面有创新，能够提升项目效果，得20分。​</w:t>
            </w:r>
          </w:p>
          <w:p w14:paraId="452692DC">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第二档：项目活动方案设计合理、安排科学，基本符合项目要求和预期目标，得15分。​</w:t>
            </w:r>
          </w:p>
          <w:p w14:paraId="22C60EFC">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第三档：项目活动方案设计不合理、安排不科学，存在明显缺陷，可能影响项目实施效果，得10分。​</w:t>
            </w:r>
          </w:p>
          <w:p w14:paraId="1E4FE1EA">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left"/>
              <w:textAlignment w:val="baseline"/>
              <w:outlineLvl w:val="9"/>
              <w:rPr>
                <w:rFonts w:hint="default"/>
                <w:sz w:val="21"/>
                <w:szCs w:val="21"/>
                <w:lang w:val="en-US" w:eastAsia="zh-CN"/>
              </w:rPr>
            </w:pPr>
            <w:r>
              <w:rPr>
                <w:rFonts w:hint="eastAsia" w:ascii="宋体" w:hAnsi="宋体"/>
                <w:color w:val="auto"/>
                <w:sz w:val="21"/>
                <w:szCs w:val="21"/>
                <w:lang w:val="en-US" w:eastAsia="zh-CN"/>
              </w:rPr>
              <w:t>第四档：无项目活动方案，得0分。</w:t>
            </w:r>
          </w:p>
        </w:tc>
      </w:tr>
      <w:tr w14:paraId="531A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1655" w:type="dxa"/>
            <w:noWrap w:val="0"/>
            <w:vAlign w:val="center"/>
          </w:tcPr>
          <w:p w14:paraId="3B6A8C9F">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b/>
                <w:color w:val="auto"/>
                <w:sz w:val="22"/>
                <w:szCs w:val="22"/>
                <w:lang w:eastAsia="zh-CN"/>
              </w:rPr>
            </w:pPr>
            <w:r>
              <w:rPr>
                <w:rFonts w:hint="eastAsia" w:ascii="宋体" w:hAnsi="宋体"/>
                <w:b/>
                <w:color w:val="auto"/>
                <w:sz w:val="22"/>
                <w:szCs w:val="22"/>
                <w:lang w:eastAsia="zh-CN"/>
              </w:rPr>
              <w:t>项目实施</w:t>
            </w:r>
          </w:p>
          <w:p w14:paraId="5CDF1D9D">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b/>
                <w:color w:val="auto"/>
                <w:szCs w:val="24"/>
              </w:rPr>
            </w:pPr>
            <w:r>
              <w:rPr>
                <w:rFonts w:hint="eastAsia" w:ascii="宋体" w:hAnsi="宋体"/>
                <w:b/>
                <w:color w:val="auto"/>
                <w:sz w:val="22"/>
                <w:szCs w:val="22"/>
                <w:lang w:eastAsia="zh-CN"/>
              </w:rPr>
              <w:t>团队</w:t>
            </w:r>
            <w:r>
              <w:rPr>
                <w:rFonts w:hint="eastAsia" w:ascii="宋体" w:hAnsi="宋体"/>
                <w:b/>
                <w:color w:val="auto"/>
                <w:sz w:val="22"/>
                <w:szCs w:val="22"/>
                <w:lang w:val="en-US" w:eastAsia="zh-CN"/>
              </w:rPr>
              <w:t>配置</w:t>
            </w:r>
          </w:p>
        </w:tc>
        <w:tc>
          <w:tcPr>
            <w:tcW w:w="1103" w:type="dxa"/>
            <w:noWrap w:val="0"/>
            <w:vAlign w:val="center"/>
          </w:tcPr>
          <w:p w14:paraId="292F0215">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Cs w:val="24"/>
                <w:lang w:val="en-US"/>
              </w:rPr>
            </w:pPr>
            <w:r>
              <w:rPr>
                <w:rFonts w:hint="eastAsia" w:ascii="宋体" w:hAnsi="宋体"/>
                <w:b/>
                <w:color w:val="auto"/>
                <w:sz w:val="22"/>
                <w:szCs w:val="22"/>
                <w:lang w:val="en-US" w:eastAsia="zh-CN"/>
              </w:rPr>
              <w:t>15</w:t>
            </w:r>
          </w:p>
        </w:tc>
        <w:tc>
          <w:tcPr>
            <w:tcW w:w="6280" w:type="dxa"/>
            <w:noWrap w:val="0"/>
            <w:vAlign w:val="center"/>
          </w:tcPr>
          <w:p w14:paraId="3EDF9545">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lang w:eastAsia="zh-CN"/>
              </w:rPr>
            </w:pPr>
            <w:r>
              <w:rPr>
                <w:rFonts w:hint="eastAsia" w:ascii="宋体" w:hAnsi="宋体"/>
                <w:color w:val="auto"/>
                <w:sz w:val="21"/>
                <w:szCs w:val="21"/>
                <w:lang w:eastAsia="zh-CN"/>
              </w:rPr>
              <w:t>根据供应商提供的项目实施团队的组织结构和人员配备优劣进行比较：</w:t>
            </w:r>
          </w:p>
          <w:p w14:paraId="0C89C7CC">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lang w:eastAsia="zh-CN"/>
              </w:rPr>
              <w:t>第一档</w:t>
            </w:r>
            <w:r>
              <w:rPr>
                <w:rFonts w:hint="eastAsia" w:ascii="宋体" w:hAnsi="宋体"/>
                <w:color w:val="auto"/>
                <w:sz w:val="21"/>
                <w:szCs w:val="21"/>
              </w:rPr>
              <w:t>：组织机构完善、合理且具有高效的协作机制，团队人员专业性强、经验丰富，且在相关领域有突出业绩，完全契合项目特点和需求，得15分。​</w:t>
            </w:r>
          </w:p>
          <w:p w14:paraId="3FB1A594">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lang w:eastAsia="zh-CN"/>
              </w:rPr>
              <w:t>第二档</w:t>
            </w:r>
            <w:r>
              <w:rPr>
                <w:rFonts w:hint="eastAsia" w:ascii="宋体" w:hAnsi="宋体"/>
                <w:color w:val="auto"/>
                <w:sz w:val="21"/>
                <w:szCs w:val="21"/>
              </w:rPr>
              <w:t>：组织机构完善、合理，团队人员</w:t>
            </w:r>
            <w:r>
              <w:rPr>
                <w:rFonts w:hint="eastAsia" w:ascii="宋体" w:hAnsi="宋体"/>
                <w:color w:val="auto"/>
                <w:sz w:val="21"/>
                <w:szCs w:val="21"/>
                <w:lang w:eastAsia="zh-CN"/>
              </w:rPr>
              <w:t>具有专业性和项目经验</w:t>
            </w:r>
            <w:r>
              <w:rPr>
                <w:rFonts w:hint="eastAsia" w:ascii="宋体" w:hAnsi="宋体"/>
                <w:color w:val="auto"/>
                <w:sz w:val="21"/>
                <w:szCs w:val="21"/>
              </w:rPr>
              <w:t>，</w:t>
            </w:r>
            <w:r>
              <w:rPr>
                <w:rFonts w:hint="eastAsia" w:ascii="宋体" w:hAnsi="宋体"/>
                <w:color w:val="auto"/>
                <w:sz w:val="21"/>
                <w:szCs w:val="21"/>
                <w:lang w:eastAsia="zh-CN"/>
              </w:rPr>
              <w:t>基本</w:t>
            </w:r>
            <w:r>
              <w:rPr>
                <w:rFonts w:hint="eastAsia" w:ascii="宋体" w:hAnsi="宋体"/>
                <w:color w:val="auto"/>
                <w:sz w:val="21"/>
                <w:szCs w:val="21"/>
              </w:rPr>
              <w:t>符合项目特点和实施需求，得10分。​</w:t>
            </w:r>
          </w:p>
          <w:p w14:paraId="426B774B">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eastAsia" w:ascii="宋体" w:hAnsi="宋体"/>
                <w:color w:val="auto"/>
                <w:sz w:val="21"/>
                <w:szCs w:val="21"/>
              </w:rPr>
            </w:pPr>
            <w:r>
              <w:rPr>
                <w:rFonts w:hint="eastAsia" w:ascii="宋体" w:hAnsi="宋体"/>
                <w:color w:val="auto"/>
                <w:sz w:val="21"/>
                <w:szCs w:val="21"/>
                <w:lang w:eastAsia="zh-CN"/>
              </w:rPr>
              <w:t>第三档</w:t>
            </w:r>
            <w:r>
              <w:rPr>
                <w:rFonts w:hint="eastAsia" w:ascii="宋体" w:hAnsi="宋体"/>
                <w:color w:val="auto"/>
                <w:sz w:val="21"/>
                <w:szCs w:val="21"/>
              </w:rPr>
              <w:t>：组织机构不够完善合理，团队人员专业性欠缺、经验不足，不符合项目特点和实施需求，得5分。</w:t>
            </w:r>
          </w:p>
          <w:p w14:paraId="1B44EA1D">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jc w:val="both"/>
              <w:textAlignment w:val="baseline"/>
              <w:outlineLvl w:val="9"/>
              <w:rPr>
                <w:rFonts w:hint="default" w:eastAsia="仿宋_GB2312"/>
                <w:sz w:val="21"/>
                <w:szCs w:val="21"/>
                <w:lang w:val="en-US" w:eastAsia="zh-CN"/>
              </w:rPr>
            </w:pPr>
            <w:r>
              <w:rPr>
                <w:rFonts w:hint="eastAsia" w:ascii="宋体" w:hAnsi="宋体"/>
                <w:color w:val="auto"/>
                <w:sz w:val="21"/>
                <w:szCs w:val="21"/>
                <w:lang w:eastAsia="zh-CN"/>
              </w:rPr>
              <w:t>第四档：无项目实施团队，得</w:t>
            </w:r>
            <w:r>
              <w:rPr>
                <w:rFonts w:hint="eastAsia" w:ascii="宋体" w:hAnsi="宋体"/>
                <w:color w:val="auto"/>
                <w:sz w:val="21"/>
                <w:szCs w:val="21"/>
                <w:lang w:val="en-US" w:eastAsia="zh-CN"/>
              </w:rPr>
              <w:t>0分。</w:t>
            </w:r>
          </w:p>
        </w:tc>
      </w:tr>
    </w:tbl>
    <w:p w14:paraId="619F16FA">
      <w:pPr>
        <w:keepNext w:val="0"/>
        <w:keepLines w:val="0"/>
        <w:pageBreakBefore w:val="0"/>
        <w:kinsoku/>
        <w:wordWrap/>
        <w:overflowPunct/>
        <w:topLinePunct w:val="0"/>
        <w:autoSpaceDE/>
        <w:autoSpaceDN/>
        <w:bidi w:val="0"/>
        <w:snapToGrid/>
        <w:spacing w:line="360" w:lineRule="exact"/>
      </w:pPr>
      <w:bookmarkStart w:id="0" w:name="_GoBack"/>
      <w:bookmarkEnd w:id="0"/>
    </w:p>
    <w:sectPr>
      <w:pgSz w:w="11906" w:h="16838"/>
      <w:pgMar w:top="1757"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jYwNDdkYjlmM2JjNzU5ODA4MWVkYzljOThmZjkifQ=="/>
  </w:docVars>
  <w:rsids>
    <w:rsidRoot w:val="260A2D71"/>
    <w:rsid w:val="04DC52CD"/>
    <w:rsid w:val="092F1E23"/>
    <w:rsid w:val="0C05374A"/>
    <w:rsid w:val="1271076E"/>
    <w:rsid w:val="1A7D55C0"/>
    <w:rsid w:val="1CF742A1"/>
    <w:rsid w:val="1DD138F7"/>
    <w:rsid w:val="202C473F"/>
    <w:rsid w:val="260A2D71"/>
    <w:rsid w:val="2B965855"/>
    <w:rsid w:val="2D153DAB"/>
    <w:rsid w:val="2E253655"/>
    <w:rsid w:val="44535317"/>
    <w:rsid w:val="55217E66"/>
    <w:rsid w:val="63FF0BE5"/>
    <w:rsid w:val="66B46184"/>
    <w:rsid w:val="6FBFCCD8"/>
    <w:rsid w:val="7AFF7F73"/>
    <w:rsid w:val="7B9D20EE"/>
    <w:rsid w:val="FCFF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rPr>
      <w:rFonts w:ascii="仿宋_GB2312" w:hAnsi="仿宋_GB2312" w:eastAsia="仿宋_GB2312" w:cs="Times New Roman"/>
      <w:sz w:val="32"/>
    </w:rPr>
  </w:style>
  <w:style w:type="paragraph" w:styleId="3">
    <w:name w:val="Body Text"/>
    <w:basedOn w:val="1"/>
    <w:next w:val="4"/>
    <w:qFormat/>
    <w:uiPriority w:val="99"/>
    <w:pPr>
      <w:jc w:val="center"/>
    </w:pPr>
    <w:rPr>
      <w:rFonts w:ascii="仿宋_GB2312" w:hAnsi="宋体" w:eastAsia="仿宋_GB2312"/>
      <w:color w:val="auto"/>
      <w:kern w:val="13"/>
      <w:sz w:val="28"/>
    </w:rPr>
  </w:style>
  <w:style w:type="paragraph" w:styleId="4">
    <w:name w:val="toc 2"/>
    <w:basedOn w:val="1"/>
    <w:next w:val="1"/>
    <w:qFormat/>
    <w:uiPriority w:val="0"/>
    <w:pPr>
      <w:widowControl/>
      <w:ind w:left="200"/>
    </w:pPr>
    <w:rPr>
      <w:b/>
      <w:smallCaps/>
      <w:kern w:val="0"/>
      <w:sz w:val="20"/>
    </w:rPr>
  </w:style>
  <w:style w:type="paragraph" w:styleId="5">
    <w:name w:val="annotation text"/>
    <w:basedOn w:val="1"/>
    <w:qFormat/>
    <w:uiPriority w:val="0"/>
    <w:pPr>
      <w:jc w:val="left"/>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802</Words>
  <Characters>823</Characters>
  <Lines>0</Lines>
  <Paragraphs>0</Paragraphs>
  <TotalTime>3</TotalTime>
  <ScaleCrop>false</ScaleCrop>
  <LinksUpToDate>false</LinksUpToDate>
  <CharactersWithSpaces>823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2024-05-24T16:56:00Z</dcterms:created>
  <dc:creator>yunzhao</dc:creator>
  <cp:lastModifiedBy>uos</cp:lastModifiedBy>
  <cp:lastPrinted>2025-04-15T10:07:00Z</cp:lastPrinted>
  <dcterms:modified xsi:type="dcterms:W3CDTF">2025-04-30T15:02:31Z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173DF3743B4D089011CA1168497F500E_43</vt:lpwstr>
  </property>
  <property fmtid="{D5CDD505-2E9C-101B-9397-08002B2CF9AE}" pid="4" name="KSOTemplateDocerSaveRecord">
    <vt:lpwstr>eyJoZGlkIjoiZmE1NjhmYzdlOTYxNTlmYjVlNTE2NWFjMzc4YWFkOGQiLCJ1c2VySWQiOiI2NDA3NDc1MTkifQ==</vt:lpwstr>
  </property>
</Properties>
</file>